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Default Extension="png" ContentType="image/png"/>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119" w:lineRule="exact"/>
        <w:ind w:left="1070"/>
        <w:rPr>
          <w:sz w:val="11"/>
        </w:rPr>
      </w:pPr>
      <w:r>
        <w:rPr>
          <w:position w:val="-1"/>
          <w:sz w:val="11"/>
        </w:rPr>
        <w:pict>
          <v:group style="width:455pt;height:6pt;mso-position-horizontal-relative:char;mso-position-vertical-relative:line" coordorigin="0,0" coordsize="9100,120">
            <v:line style="position:absolute" from="0,20" to="9100,20" stroked="true" strokeweight="1.996pt" strokecolor="#231f20">
              <v:stroke dashstyle="solid"/>
            </v:line>
            <v:line style="position:absolute" from="0,110" to="9100,110" stroked="true" strokeweight=".998pt" strokecolor="#231f20">
              <v:stroke dashstyle="solid"/>
            </v:line>
          </v:group>
        </w:pict>
      </w:r>
      <w:r>
        <w:rPr>
          <w:position w:val="-1"/>
          <w:sz w:val="11"/>
        </w:rPr>
      </w:r>
    </w:p>
    <w:p>
      <w:pPr>
        <w:pStyle w:val="BodyText"/>
      </w:pPr>
    </w:p>
    <w:p>
      <w:pPr>
        <w:pStyle w:val="BodyText"/>
        <w:spacing w:before="5"/>
        <w:rPr>
          <w:sz w:val="29"/>
        </w:rPr>
      </w:pPr>
    </w:p>
    <w:p>
      <w:pPr>
        <w:spacing w:line="364" w:lineRule="exact" w:before="107"/>
        <w:ind w:left="1720" w:right="2017" w:firstLine="0"/>
        <w:jc w:val="center"/>
        <w:rPr>
          <w:b/>
          <w:sz w:val="32"/>
        </w:rPr>
      </w:pPr>
      <w:r>
        <w:rPr>
          <w:b/>
          <w:color w:val="231F20"/>
          <w:w w:val="105"/>
          <w:sz w:val="32"/>
        </w:rPr>
        <w:t>UNITED STATES</w:t>
      </w:r>
    </w:p>
    <w:p>
      <w:pPr>
        <w:spacing w:line="364" w:lineRule="exact" w:before="0"/>
        <w:ind w:left="1720" w:right="2017" w:firstLine="0"/>
        <w:jc w:val="center"/>
        <w:rPr>
          <w:b/>
          <w:sz w:val="32"/>
        </w:rPr>
      </w:pPr>
      <w:r>
        <w:rPr>
          <w:b/>
          <w:color w:val="231F20"/>
          <w:w w:val="105"/>
          <w:sz w:val="32"/>
        </w:rPr>
        <w:t>SECURITIES AND EXCHANGE COMMISSION</w:t>
      </w:r>
    </w:p>
    <w:p>
      <w:pPr>
        <w:pStyle w:val="Heading2"/>
        <w:spacing w:before="23"/>
        <w:ind w:left="1720" w:right="2017"/>
        <w:jc w:val="center"/>
      </w:pPr>
      <w:r>
        <w:rPr>
          <w:color w:val="231F20"/>
        </w:rPr>
        <w:t>Washington D.C. 20549</w:t>
      </w:r>
    </w:p>
    <w:p>
      <w:pPr>
        <w:pStyle w:val="BodyText"/>
        <w:rPr>
          <w:b/>
          <w:sz w:val="26"/>
        </w:rPr>
      </w:pPr>
    </w:p>
    <w:p>
      <w:pPr>
        <w:spacing w:before="157"/>
        <w:ind w:left="1720" w:right="2017" w:firstLine="0"/>
        <w:jc w:val="center"/>
        <w:rPr>
          <w:b/>
          <w:sz w:val="32"/>
        </w:rPr>
      </w:pPr>
      <w:r>
        <w:rPr>
          <w:b/>
          <w:color w:val="231F20"/>
          <w:sz w:val="32"/>
        </w:rPr>
        <w:t>Form 6-K</w:t>
      </w:r>
    </w:p>
    <w:p>
      <w:pPr>
        <w:pStyle w:val="Heading2"/>
        <w:spacing w:line="249" w:lineRule="auto" w:before="263"/>
        <w:ind w:left="1721" w:right="2017"/>
        <w:jc w:val="center"/>
      </w:pPr>
      <w:r>
        <w:rPr>
          <w:color w:val="231F20"/>
        </w:rPr>
        <w:t>REPORT OF FOREIGN PRIVATE ISSUER PURSUANT TO RULE 13A-16 OR 15D-16 UNDER THE SECURITIES EXCHANGE ACT OF 1934</w:t>
      </w:r>
    </w:p>
    <w:p>
      <w:pPr>
        <w:pStyle w:val="BodyText"/>
        <w:spacing w:before="10"/>
        <w:rPr>
          <w:b/>
        </w:rPr>
      </w:pPr>
    </w:p>
    <w:p>
      <w:pPr>
        <w:spacing w:line="249" w:lineRule="auto" w:before="0"/>
        <w:ind w:left="4108" w:right="4405" w:hanging="1"/>
        <w:jc w:val="center"/>
        <w:rPr>
          <w:b/>
          <w:sz w:val="20"/>
        </w:rPr>
      </w:pPr>
      <w:r>
        <w:rPr>
          <w:b/>
          <w:color w:val="231F20"/>
          <w:sz w:val="20"/>
        </w:rPr>
        <w:t>For the month of December 2023 </w:t>
      </w:r>
      <w:r>
        <w:rPr>
          <w:b/>
          <w:color w:val="231F20"/>
          <w:w w:val="95"/>
          <w:sz w:val="20"/>
        </w:rPr>
        <w:t>Commission File Number: 001-41641</w:t>
      </w:r>
    </w:p>
    <w:p>
      <w:pPr>
        <w:pStyle w:val="BodyText"/>
        <w:rPr>
          <w:b/>
          <w:sz w:val="26"/>
        </w:rPr>
      </w:pPr>
    </w:p>
    <w:p>
      <w:pPr>
        <w:pStyle w:val="BodyText"/>
        <w:spacing w:before="8"/>
        <w:rPr>
          <w:b/>
          <w:sz w:val="33"/>
        </w:rPr>
      </w:pPr>
    </w:p>
    <w:p>
      <w:pPr>
        <w:spacing w:before="1"/>
        <w:ind w:left="1720" w:right="2017" w:firstLine="0"/>
        <w:jc w:val="center"/>
        <w:rPr>
          <w:b/>
          <w:sz w:val="32"/>
        </w:rPr>
      </w:pPr>
      <w:r>
        <w:rPr>
          <w:b/>
          <w:color w:val="231F20"/>
          <w:w w:val="105"/>
          <w:sz w:val="32"/>
        </w:rPr>
        <w:t>SHL TELEMEDICINE LTD.</w:t>
      </w:r>
    </w:p>
    <w:p>
      <w:pPr>
        <w:spacing w:before="20"/>
        <w:ind w:left="1720" w:right="2017" w:firstLine="0"/>
        <w:jc w:val="center"/>
        <w:rPr>
          <w:sz w:val="16"/>
        </w:rPr>
      </w:pPr>
      <w:r>
        <w:rPr>
          <w:color w:val="231F20"/>
          <w:w w:val="105"/>
          <w:sz w:val="16"/>
        </w:rPr>
        <w:t>(Translation of registrant’s name into English)</w:t>
      </w:r>
    </w:p>
    <w:p>
      <w:pPr>
        <w:pStyle w:val="BodyText"/>
        <w:spacing w:before="5"/>
        <w:rPr>
          <w:sz w:val="22"/>
        </w:rPr>
      </w:pPr>
    </w:p>
    <w:p>
      <w:pPr>
        <w:pStyle w:val="Heading2"/>
        <w:spacing w:line="249" w:lineRule="auto"/>
        <w:ind w:left="4747" w:right="5044" w:hanging="1"/>
        <w:jc w:val="center"/>
      </w:pPr>
      <w:r>
        <w:rPr>
          <w:color w:val="231F20"/>
        </w:rPr>
        <w:t>90 Yigal Alon Street </w:t>
      </w:r>
      <w:r>
        <w:rPr>
          <w:color w:val="231F20"/>
          <w:spacing w:val="-5"/>
        </w:rPr>
        <w:t>Tel Aviv </w:t>
      </w:r>
      <w:r>
        <w:rPr>
          <w:color w:val="231F20"/>
        </w:rPr>
        <w:t>67891,</w:t>
      </w:r>
      <w:r>
        <w:rPr>
          <w:color w:val="231F20"/>
          <w:spacing w:val="-32"/>
        </w:rPr>
        <w:t> </w:t>
      </w:r>
      <w:r>
        <w:rPr>
          <w:color w:val="231F20"/>
          <w:spacing w:val="-3"/>
        </w:rPr>
        <w:t>Israel</w:t>
      </w:r>
    </w:p>
    <w:p>
      <w:pPr>
        <w:spacing w:line="182" w:lineRule="exact" w:before="0"/>
        <w:ind w:left="1720" w:right="2017" w:firstLine="0"/>
        <w:jc w:val="center"/>
        <w:rPr>
          <w:sz w:val="16"/>
        </w:rPr>
      </w:pPr>
      <w:r>
        <w:rPr>
          <w:color w:val="231F20"/>
          <w:w w:val="105"/>
          <w:sz w:val="16"/>
        </w:rPr>
        <w:t>(Address of principal executive offices)</w:t>
      </w:r>
    </w:p>
    <w:p>
      <w:pPr>
        <w:pStyle w:val="BodyText"/>
      </w:pPr>
    </w:p>
    <w:p>
      <w:pPr>
        <w:pStyle w:val="BodyText"/>
        <w:spacing w:before="3"/>
        <w:rPr>
          <w:sz w:val="23"/>
        </w:rPr>
      </w:pPr>
    </w:p>
    <w:p>
      <w:pPr>
        <w:pStyle w:val="BodyText"/>
        <w:spacing w:line="249" w:lineRule="auto"/>
        <w:ind w:left="1090" w:right="1322" w:firstLine="399"/>
      </w:pPr>
      <w:r>
        <w:rPr>
          <w:color w:val="231F20"/>
          <w:w w:val="105"/>
        </w:rPr>
        <w:t>Indicate by check mark whether the registrant files or will file annual reports under cover Form 20-F or Form 40-F.</w:t>
      </w:r>
    </w:p>
    <w:p>
      <w:pPr>
        <w:pStyle w:val="BodyText"/>
        <w:tabs>
          <w:tab w:pos="4270" w:val="left" w:leader="none"/>
        </w:tabs>
        <w:spacing w:before="147"/>
        <w:ind w:right="297"/>
        <w:jc w:val="center"/>
        <w:rPr>
          <w:rFonts w:ascii="MS UI Gothic" w:hAnsi="MS UI Gothic"/>
        </w:rPr>
      </w:pPr>
      <w:r>
        <w:rPr>
          <w:color w:val="231F20"/>
          <w:spacing w:val="-3"/>
          <w:w w:val="105"/>
        </w:rPr>
        <w:t>Form</w:t>
      </w:r>
      <w:r>
        <w:rPr>
          <w:color w:val="231F20"/>
          <w:w w:val="105"/>
        </w:rPr>
        <w:t> 20-F</w:t>
      </w:r>
      <w:r>
        <w:rPr>
          <w:color w:val="231F20"/>
          <w:spacing w:val="1"/>
          <w:w w:val="105"/>
        </w:rPr>
        <w:t> </w:t>
      </w:r>
      <w:r>
        <w:rPr>
          <w:rFonts w:ascii="MS UI Gothic" w:hAnsi="MS UI Gothic"/>
          <w:color w:val="231F20"/>
          <w:w w:val="105"/>
        </w:rPr>
        <w:t>☒</w:t>
        <w:tab/>
      </w:r>
      <w:r>
        <w:rPr>
          <w:color w:val="231F20"/>
          <w:spacing w:val="-3"/>
          <w:w w:val="105"/>
        </w:rPr>
        <w:t>Form </w:t>
      </w:r>
      <w:r>
        <w:rPr>
          <w:color w:val="231F20"/>
          <w:w w:val="105"/>
        </w:rPr>
        <w:t>40-F</w:t>
      </w:r>
      <w:r>
        <w:rPr>
          <w:color w:val="231F20"/>
          <w:spacing w:val="-3"/>
          <w:w w:val="105"/>
        </w:rPr>
        <w:t> </w:t>
      </w:r>
      <w:r>
        <w:rPr>
          <w:rFonts w:ascii="MS UI Gothic" w:hAnsi="MS UI Gothic"/>
          <w:color w:val="231F20"/>
          <w:w w:val="105"/>
        </w:rPr>
        <w:t>☐</w:t>
      </w:r>
    </w:p>
    <w:p>
      <w:pPr>
        <w:pStyle w:val="BodyText"/>
        <w:rPr>
          <w:rFonts w:ascii="MS UI Gothic"/>
        </w:rPr>
      </w:pPr>
    </w:p>
    <w:p>
      <w:pPr>
        <w:pStyle w:val="BodyText"/>
        <w:rPr>
          <w:rFonts w:ascii="MS UI Gothic"/>
        </w:rPr>
      </w:pPr>
    </w:p>
    <w:p>
      <w:pPr>
        <w:pStyle w:val="BodyText"/>
        <w:spacing w:before="6"/>
        <w:rPr>
          <w:rFonts w:ascii="MS UI Gothic"/>
          <w:sz w:val="19"/>
        </w:rPr>
      </w:pPr>
      <w:r>
        <w:rPr/>
        <w:pict>
          <v:group style="position:absolute;margin-left:69.504997pt;margin-top:14.464644pt;width:455pt;height:6pt;mso-position-horizontal-relative:page;mso-position-vertical-relative:paragraph;z-index:-15728128;mso-wrap-distance-left:0;mso-wrap-distance-right:0" coordorigin="1390,289" coordsize="9100,120">
            <v:line style="position:absolute" from="1390,299" to="10490,299" stroked="true" strokeweight=".998pt" strokecolor="#231f20">
              <v:stroke dashstyle="solid"/>
            </v:line>
            <v:line style="position:absolute" from="1390,389" to="10490,389" stroked="true" strokeweight="1.996pt" strokecolor="#231f20">
              <v:stroke dashstyle="solid"/>
            </v:line>
            <w10:wrap type="topAndBottom"/>
          </v:group>
        </w:pict>
      </w:r>
    </w:p>
    <w:p>
      <w:pPr>
        <w:spacing w:after="0"/>
        <w:rPr>
          <w:rFonts w:ascii="MS UI Gothic"/>
          <w:sz w:val="19"/>
        </w:rPr>
        <w:sectPr>
          <w:type w:val="continuous"/>
          <w:pgSz w:w="11880" w:h="15480"/>
          <w:pgMar w:top="700" w:bottom="280" w:left="300" w:right="0"/>
        </w:sectPr>
      </w:pPr>
    </w:p>
    <w:p>
      <w:pPr>
        <w:pStyle w:val="Heading2"/>
        <w:spacing w:before="87"/>
        <w:ind w:left="1721" w:right="2017"/>
        <w:jc w:val="center"/>
      </w:pPr>
      <w:r>
        <w:rPr>
          <w:color w:val="231F20"/>
        </w:rPr>
        <w:t>INFORMATION CONTAINED IN THIS FORM 6-K REPORT</w:t>
      </w:r>
    </w:p>
    <w:p>
      <w:pPr>
        <w:pStyle w:val="BodyText"/>
        <w:spacing w:line="249" w:lineRule="auto" w:before="169"/>
        <w:ind w:left="1090" w:right="1386" w:firstLine="399"/>
      </w:pPr>
      <w:r>
        <w:rPr>
          <w:color w:val="231F20"/>
          <w:w w:val="105"/>
        </w:rPr>
        <w:t>On December 28, 2023, SHL Telemedicine Ltd. (the “Company”) announced that the 2023 </w:t>
      </w:r>
      <w:r>
        <w:rPr>
          <w:color w:val="231F20"/>
          <w:spacing w:val="-3"/>
          <w:w w:val="105"/>
        </w:rPr>
        <w:t>Annual </w:t>
      </w:r>
      <w:r>
        <w:rPr>
          <w:color w:val="231F20"/>
          <w:w w:val="105"/>
        </w:rPr>
        <w:t>General Meeting of Shareholders of the Company (the </w:t>
      </w:r>
      <w:r>
        <w:rPr>
          <w:color w:val="231F20"/>
          <w:spacing w:val="-6"/>
          <w:w w:val="105"/>
        </w:rPr>
        <w:t>“Annual </w:t>
      </w:r>
      <w:r>
        <w:rPr>
          <w:color w:val="231F20"/>
          <w:w w:val="105"/>
        </w:rPr>
        <w:t>General Meeting”) will be held on</w:t>
      </w:r>
      <w:r>
        <w:rPr>
          <w:color w:val="231F20"/>
          <w:spacing w:val="-24"/>
          <w:w w:val="105"/>
        </w:rPr>
        <w:t> </w:t>
      </w:r>
      <w:r>
        <w:rPr>
          <w:color w:val="231F20"/>
          <w:spacing w:val="-3"/>
          <w:w w:val="105"/>
        </w:rPr>
        <w:t>Thursday, </w:t>
      </w:r>
      <w:r>
        <w:rPr>
          <w:color w:val="231F20"/>
          <w:w w:val="105"/>
        </w:rPr>
        <w:t>February 8, 2024, </w:t>
      </w:r>
      <w:r>
        <w:rPr>
          <w:color w:val="231F20"/>
          <w:spacing w:val="-3"/>
          <w:w w:val="105"/>
        </w:rPr>
        <w:t>at </w:t>
      </w:r>
      <w:r>
        <w:rPr>
          <w:color w:val="231F20"/>
          <w:w w:val="105"/>
        </w:rPr>
        <w:t>5:00 </w:t>
      </w:r>
      <w:r>
        <w:rPr>
          <w:color w:val="231F20"/>
          <w:spacing w:val="-3"/>
          <w:w w:val="105"/>
        </w:rPr>
        <w:t>p.m., </w:t>
      </w:r>
      <w:r>
        <w:rPr>
          <w:color w:val="231F20"/>
          <w:w w:val="105"/>
        </w:rPr>
        <w:t>Israel time, </w:t>
      </w:r>
      <w:r>
        <w:rPr>
          <w:color w:val="231F20"/>
          <w:spacing w:val="-3"/>
          <w:w w:val="105"/>
        </w:rPr>
        <w:t>at </w:t>
      </w:r>
      <w:r>
        <w:rPr>
          <w:color w:val="231F20"/>
          <w:w w:val="105"/>
        </w:rPr>
        <w:t>the offices of  the Company </w:t>
      </w:r>
      <w:r>
        <w:rPr>
          <w:color w:val="231F20"/>
          <w:spacing w:val="-3"/>
          <w:w w:val="105"/>
        </w:rPr>
        <w:t>at </w:t>
      </w:r>
      <w:r>
        <w:rPr>
          <w:color w:val="231F20"/>
          <w:w w:val="105"/>
        </w:rPr>
        <w:t>Ashdar Building — 2</w:t>
      </w:r>
      <w:r>
        <w:rPr>
          <w:color w:val="231F20"/>
          <w:w w:val="105"/>
          <w:vertAlign w:val="superscript"/>
        </w:rPr>
        <w:t>nd</w:t>
      </w:r>
      <w:r>
        <w:rPr>
          <w:color w:val="231F20"/>
          <w:w w:val="105"/>
          <w:vertAlign w:val="baseline"/>
        </w:rPr>
        <w:t> </w:t>
      </w:r>
      <w:r>
        <w:rPr>
          <w:color w:val="231F20"/>
          <w:spacing w:val="-4"/>
          <w:w w:val="105"/>
          <w:vertAlign w:val="baseline"/>
        </w:rPr>
        <w:t>Floor, </w:t>
      </w:r>
      <w:r>
        <w:rPr>
          <w:color w:val="231F20"/>
          <w:w w:val="105"/>
          <w:vertAlign w:val="baseline"/>
        </w:rPr>
        <w:t>90 </w:t>
      </w:r>
      <w:r>
        <w:rPr>
          <w:color w:val="231F20"/>
          <w:spacing w:val="-4"/>
          <w:w w:val="105"/>
          <w:vertAlign w:val="baseline"/>
        </w:rPr>
        <w:t>Yigal </w:t>
      </w:r>
      <w:r>
        <w:rPr>
          <w:color w:val="231F20"/>
          <w:w w:val="105"/>
          <w:vertAlign w:val="baseline"/>
        </w:rPr>
        <w:t>Alon Street, </w:t>
      </w:r>
      <w:r>
        <w:rPr>
          <w:color w:val="231F20"/>
          <w:spacing w:val="-6"/>
          <w:w w:val="105"/>
          <w:vertAlign w:val="baseline"/>
        </w:rPr>
        <w:t>Tel </w:t>
      </w:r>
      <w:r>
        <w:rPr>
          <w:color w:val="231F20"/>
          <w:spacing w:val="-9"/>
          <w:w w:val="105"/>
          <w:vertAlign w:val="baseline"/>
        </w:rPr>
        <w:t>Aviv, </w:t>
      </w:r>
      <w:r>
        <w:rPr>
          <w:color w:val="231F20"/>
          <w:w w:val="105"/>
          <w:vertAlign w:val="baseline"/>
        </w:rPr>
        <w:t>Israel, and published its </w:t>
      </w:r>
      <w:r>
        <w:rPr>
          <w:color w:val="231F20"/>
          <w:spacing w:val="-3"/>
          <w:w w:val="105"/>
          <w:vertAlign w:val="baseline"/>
        </w:rPr>
        <w:t>Proxy </w:t>
      </w:r>
      <w:r>
        <w:rPr>
          <w:color w:val="231F20"/>
          <w:w w:val="105"/>
          <w:vertAlign w:val="baseline"/>
        </w:rPr>
        <w:t>Statement in connection with the </w:t>
      </w:r>
      <w:r>
        <w:rPr>
          <w:color w:val="231F20"/>
          <w:spacing w:val="-3"/>
          <w:w w:val="105"/>
          <w:vertAlign w:val="baseline"/>
        </w:rPr>
        <w:t>Annual </w:t>
      </w:r>
      <w:r>
        <w:rPr>
          <w:color w:val="231F20"/>
          <w:w w:val="105"/>
          <w:vertAlign w:val="baseline"/>
        </w:rPr>
        <w:t>General Meeting. The Notice of </w:t>
      </w:r>
      <w:r>
        <w:rPr>
          <w:color w:val="231F20"/>
          <w:spacing w:val="-3"/>
          <w:w w:val="105"/>
          <w:vertAlign w:val="baseline"/>
        </w:rPr>
        <w:t>Annual </w:t>
      </w:r>
      <w:r>
        <w:rPr>
          <w:color w:val="231F20"/>
          <w:w w:val="105"/>
          <w:vertAlign w:val="baseline"/>
        </w:rPr>
        <w:t>General Meeting of Shareholders and the </w:t>
      </w:r>
      <w:r>
        <w:rPr>
          <w:color w:val="231F20"/>
          <w:spacing w:val="-3"/>
          <w:w w:val="105"/>
          <w:vertAlign w:val="baseline"/>
        </w:rPr>
        <w:t>Proxy </w:t>
      </w:r>
      <w:r>
        <w:rPr>
          <w:color w:val="231F20"/>
          <w:w w:val="105"/>
          <w:vertAlign w:val="baseline"/>
        </w:rPr>
        <w:t>Statement in connection with the </w:t>
      </w:r>
      <w:r>
        <w:rPr>
          <w:color w:val="231F20"/>
          <w:spacing w:val="-3"/>
          <w:w w:val="105"/>
          <w:vertAlign w:val="baseline"/>
        </w:rPr>
        <w:t>Annual </w:t>
      </w:r>
      <w:r>
        <w:rPr>
          <w:color w:val="231F20"/>
          <w:w w:val="105"/>
          <w:vertAlign w:val="baseline"/>
        </w:rPr>
        <w:t>General Meeting are attached hereto as </w:t>
      </w:r>
      <w:r>
        <w:rPr>
          <w:color w:val="231F20"/>
          <w:w w:val="105"/>
          <w:u w:val="single" w:color="231F20"/>
          <w:vertAlign w:val="baseline"/>
        </w:rPr>
        <w:t>Exhibit 99.1</w:t>
      </w:r>
      <w:r>
        <w:rPr>
          <w:color w:val="231F20"/>
          <w:w w:val="105"/>
          <w:vertAlign w:val="baseline"/>
        </w:rPr>
        <w:t> and are incorporated herein by</w:t>
      </w:r>
      <w:r>
        <w:rPr>
          <w:color w:val="231F20"/>
          <w:spacing w:val="-4"/>
          <w:w w:val="105"/>
          <w:vertAlign w:val="baseline"/>
        </w:rPr>
        <w:t> </w:t>
      </w:r>
      <w:r>
        <w:rPr>
          <w:color w:val="231F20"/>
          <w:w w:val="105"/>
          <w:vertAlign w:val="baseline"/>
        </w:rPr>
        <w:t>reference.</w:t>
      </w:r>
    </w:p>
    <w:p>
      <w:pPr>
        <w:pStyle w:val="BodyText"/>
        <w:spacing w:line="249" w:lineRule="auto" w:before="162"/>
        <w:ind w:left="1090" w:right="1778" w:firstLine="399"/>
        <w:jc w:val="both"/>
      </w:pPr>
      <w:r>
        <w:rPr>
          <w:color w:val="231F20"/>
          <w:w w:val="110"/>
        </w:rPr>
        <w:t>A</w:t>
      </w:r>
      <w:r>
        <w:rPr>
          <w:color w:val="231F20"/>
          <w:spacing w:val="-21"/>
          <w:w w:val="110"/>
        </w:rPr>
        <w:t> </w:t>
      </w:r>
      <w:r>
        <w:rPr>
          <w:color w:val="231F20"/>
          <w:w w:val="110"/>
        </w:rPr>
        <w:t>copy</w:t>
      </w:r>
      <w:r>
        <w:rPr>
          <w:color w:val="231F20"/>
          <w:spacing w:val="-21"/>
          <w:w w:val="110"/>
        </w:rPr>
        <w:t> </w:t>
      </w:r>
      <w:r>
        <w:rPr>
          <w:color w:val="231F20"/>
          <w:w w:val="110"/>
        </w:rPr>
        <w:t>of</w:t>
      </w:r>
      <w:r>
        <w:rPr>
          <w:color w:val="231F20"/>
          <w:spacing w:val="-8"/>
          <w:w w:val="110"/>
        </w:rPr>
        <w:t> </w:t>
      </w:r>
      <w:r>
        <w:rPr>
          <w:color w:val="231F20"/>
          <w:w w:val="110"/>
        </w:rPr>
        <w:t>the</w:t>
      </w:r>
      <w:r>
        <w:rPr>
          <w:color w:val="231F20"/>
          <w:spacing w:val="-21"/>
          <w:w w:val="110"/>
        </w:rPr>
        <w:t> </w:t>
      </w:r>
      <w:r>
        <w:rPr>
          <w:color w:val="231F20"/>
          <w:spacing w:val="-4"/>
          <w:w w:val="110"/>
        </w:rPr>
        <w:t>Voting</w:t>
      </w:r>
      <w:r>
        <w:rPr>
          <w:color w:val="231F20"/>
          <w:spacing w:val="-21"/>
          <w:w w:val="110"/>
        </w:rPr>
        <w:t> </w:t>
      </w:r>
      <w:r>
        <w:rPr>
          <w:color w:val="231F20"/>
          <w:w w:val="110"/>
        </w:rPr>
        <w:t>Instruction</w:t>
      </w:r>
      <w:r>
        <w:rPr>
          <w:color w:val="231F20"/>
          <w:spacing w:val="-21"/>
          <w:w w:val="110"/>
        </w:rPr>
        <w:t> </w:t>
      </w:r>
      <w:r>
        <w:rPr>
          <w:color w:val="231F20"/>
          <w:spacing w:val="-3"/>
          <w:w w:val="110"/>
        </w:rPr>
        <w:t>Form</w:t>
      </w:r>
      <w:r>
        <w:rPr>
          <w:color w:val="231F20"/>
          <w:spacing w:val="-21"/>
          <w:w w:val="110"/>
        </w:rPr>
        <w:t> </w:t>
      </w:r>
      <w:r>
        <w:rPr>
          <w:color w:val="231F20"/>
          <w:spacing w:val="-3"/>
          <w:w w:val="110"/>
        </w:rPr>
        <w:t>for</w:t>
      </w:r>
      <w:r>
        <w:rPr>
          <w:color w:val="231F20"/>
          <w:spacing w:val="-20"/>
          <w:w w:val="110"/>
        </w:rPr>
        <w:t> </w:t>
      </w:r>
      <w:r>
        <w:rPr>
          <w:color w:val="231F20"/>
          <w:w w:val="110"/>
        </w:rPr>
        <w:t>holders</w:t>
      </w:r>
      <w:r>
        <w:rPr>
          <w:color w:val="231F20"/>
          <w:spacing w:val="-21"/>
          <w:w w:val="110"/>
        </w:rPr>
        <w:t> </w:t>
      </w:r>
      <w:r>
        <w:rPr>
          <w:color w:val="231F20"/>
          <w:w w:val="110"/>
        </w:rPr>
        <w:t>of</w:t>
      </w:r>
      <w:r>
        <w:rPr>
          <w:color w:val="231F20"/>
          <w:spacing w:val="-8"/>
          <w:w w:val="110"/>
        </w:rPr>
        <w:t> </w:t>
      </w:r>
      <w:r>
        <w:rPr>
          <w:color w:val="231F20"/>
          <w:w w:val="110"/>
        </w:rPr>
        <w:t>the</w:t>
      </w:r>
      <w:r>
        <w:rPr>
          <w:color w:val="231F20"/>
          <w:spacing w:val="-21"/>
          <w:w w:val="110"/>
        </w:rPr>
        <w:t> </w:t>
      </w:r>
      <w:r>
        <w:rPr>
          <w:color w:val="231F20"/>
          <w:spacing w:val="-3"/>
          <w:w w:val="110"/>
        </w:rPr>
        <w:t>Company’s</w:t>
      </w:r>
      <w:r>
        <w:rPr>
          <w:color w:val="231F20"/>
          <w:spacing w:val="-21"/>
          <w:w w:val="110"/>
        </w:rPr>
        <w:t> </w:t>
      </w:r>
      <w:r>
        <w:rPr>
          <w:color w:val="231F20"/>
          <w:w w:val="110"/>
        </w:rPr>
        <w:t>American</w:t>
      </w:r>
      <w:r>
        <w:rPr>
          <w:color w:val="231F20"/>
          <w:spacing w:val="-21"/>
          <w:w w:val="110"/>
        </w:rPr>
        <w:t> </w:t>
      </w:r>
      <w:r>
        <w:rPr>
          <w:color w:val="231F20"/>
          <w:w w:val="110"/>
        </w:rPr>
        <w:t>Depositary</w:t>
      </w:r>
      <w:r>
        <w:rPr>
          <w:color w:val="231F20"/>
          <w:spacing w:val="-21"/>
          <w:w w:val="110"/>
        </w:rPr>
        <w:t> </w:t>
      </w:r>
      <w:r>
        <w:rPr>
          <w:color w:val="231F20"/>
          <w:w w:val="110"/>
        </w:rPr>
        <w:t>Shares </w:t>
      </w:r>
      <w:r>
        <w:rPr>
          <w:color w:val="231F20"/>
          <w:spacing w:val="-3"/>
          <w:w w:val="110"/>
        </w:rPr>
        <w:t>(“ADSs”)</w:t>
      </w:r>
      <w:r>
        <w:rPr>
          <w:color w:val="231F20"/>
          <w:spacing w:val="-23"/>
          <w:w w:val="110"/>
        </w:rPr>
        <w:t> </w:t>
      </w:r>
      <w:r>
        <w:rPr>
          <w:color w:val="231F20"/>
          <w:w w:val="110"/>
        </w:rPr>
        <w:t>being</w:t>
      </w:r>
      <w:r>
        <w:rPr>
          <w:color w:val="231F20"/>
          <w:spacing w:val="-22"/>
          <w:w w:val="110"/>
        </w:rPr>
        <w:t> </w:t>
      </w:r>
      <w:r>
        <w:rPr>
          <w:color w:val="231F20"/>
          <w:w w:val="110"/>
        </w:rPr>
        <w:t>distributed</w:t>
      </w:r>
      <w:r>
        <w:rPr>
          <w:color w:val="231F20"/>
          <w:spacing w:val="-22"/>
          <w:w w:val="110"/>
        </w:rPr>
        <w:t> </w:t>
      </w:r>
      <w:r>
        <w:rPr>
          <w:color w:val="231F20"/>
          <w:w w:val="110"/>
        </w:rPr>
        <w:t>by</w:t>
      </w:r>
      <w:r>
        <w:rPr>
          <w:color w:val="231F20"/>
          <w:spacing w:val="-23"/>
          <w:w w:val="110"/>
        </w:rPr>
        <w:t> </w:t>
      </w:r>
      <w:r>
        <w:rPr>
          <w:color w:val="231F20"/>
          <w:w w:val="110"/>
        </w:rPr>
        <w:t>The</w:t>
      </w:r>
      <w:r>
        <w:rPr>
          <w:color w:val="231F20"/>
          <w:spacing w:val="-22"/>
          <w:w w:val="110"/>
        </w:rPr>
        <w:t> </w:t>
      </w:r>
      <w:r>
        <w:rPr>
          <w:color w:val="231F20"/>
          <w:w w:val="110"/>
        </w:rPr>
        <w:t>Bank</w:t>
      </w:r>
      <w:r>
        <w:rPr>
          <w:color w:val="231F20"/>
          <w:spacing w:val="-22"/>
          <w:w w:val="110"/>
        </w:rPr>
        <w:t> </w:t>
      </w:r>
      <w:r>
        <w:rPr>
          <w:color w:val="231F20"/>
          <w:w w:val="110"/>
        </w:rPr>
        <w:t>of</w:t>
      </w:r>
      <w:r>
        <w:rPr>
          <w:color w:val="231F20"/>
          <w:spacing w:val="-10"/>
          <w:w w:val="110"/>
        </w:rPr>
        <w:t> </w:t>
      </w:r>
      <w:r>
        <w:rPr>
          <w:color w:val="231F20"/>
          <w:w w:val="110"/>
        </w:rPr>
        <w:t>New</w:t>
      </w:r>
      <w:r>
        <w:rPr>
          <w:color w:val="231F20"/>
          <w:spacing w:val="-22"/>
          <w:w w:val="110"/>
        </w:rPr>
        <w:t> </w:t>
      </w:r>
      <w:r>
        <w:rPr>
          <w:color w:val="231F20"/>
          <w:spacing w:val="-8"/>
          <w:w w:val="110"/>
        </w:rPr>
        <w:t>York</w:t>
      </w:r>
      <w:r>
        <w:rPr>
          <w:color w:val="231F20"/>
          <w:spacing w:val="-22"/>
          <w:w w:val="110"/>
        </w:rPr>
        <w:t> </w:t>
      </w:r>
      <w:r>
        <w:rPr>
          <w:color w:val="231F20"/>
          <w:w w:val="110"/>
        </w:rPr>
        <w:t>Mellon,</w:t>
      </w:r>
      <w:r>
        <w:rPr>
          <w:color w:val="231F20"/>
          <w:spacing w:val="-22"/>
          <w:w w:val="110"/>
        </w:rPr>
        <w:t> </w:t>
      </w:r>
      <w:r>
        <w:rPr>
          <w:color w:val="231F20"/>
          <w:w w:val="110"/>
        </w:rPr>
        <w:t>the</w:t>
      </w:r>
      <w:r>
        <w:rPr>
          <w:color w:val="231F20"/>
          <w:spacing w:val="-23"/>
          <w:w w:val="110"/>
        </w:rPr>
        <w:t> </w:t>
      </w:r>
      <w:r>
        <w:rPr>
          <w:color w:val="231F20"/>
          <w:w w:val="110"/>
        </w:rPr>
        <w:t>Depositary</w:t>
      </w:r>
      <w:r>
        <w:rPr>
          <w:color w:val="231F20"/>
          <w:spacing w:val="-22"/>
          <w:w w:val="110"/>
        </w:rPr>
        <w:t> </w:t>
      </w:r>
      <w:r>
        <w:rPr>
          <w:color w:val="231F20"/>
          <w:spacing w:val="-3"/>
          <w:w w:val="110"/>
        </w:rPr>
        <w:t>for</w:t>
      </w:r>
      <w:r>
        <w:rPr>
          <w:color w:val="231F20"/>
          <w:spacing w:val="-22"/>
          <w:w w:val="110"/>
        </w:rPr>
        <w:t> </w:t>
      </w:r>
      <w:r>
        <w:rPr>
          <w:color w:val="231F20"/>
          <w:w w:val="110"/>
        </w:rPr>
        <w:t>the</w:t>
      </w:r>
      <w:r>
        <w:rPr>
          <w:color w:val="231F20"/>
          <w:spacing w:val="-22"/>
          <w:w w:val="110"/>
        </w:rPr>
        <w:t> </w:t>
      </w:r>
      <w:r>
        <w:rPr>
          <w:color w:val="231F20"/>
          <w:spacing w:val="-3"/>
          <w:w w:val="110"/>
        </w:rPr>
        <w:t>Company’s</w:t>
      </w:r>
      <w:r>
        <w:rPr>
          <w:color w:val="231F20"/>
          <w:spacing w:val="-23"/>
          <w:w w:val="110"/>
        </w:rPr>
        <w:t> </w:t>
      </w:r>
      <w:r>
        <w:rPr>
          <w:color w:val="231F20"/>
          <w:w w:val="110"/>
        </w:rPr>
        <w:t>ADS program,</w:t>
      </w:r>
      <w:r>
        <w:rPr>
          <w:color w:val="231F20"/>
          <w:spacing w:val="-12"/>
          <w:w w:val="110"/>
        </w:rPr>
        <w:t> </w:t>
      </w:r>
      <w:r>
        <w:rPr>
          <w:color w:val="231F20"/>
          <w:w w:val="110"/>
        </w:rPr>
        <w:t>is</w:t>
      </w:r>
      <w:r>
        <w:rPr>
          <w:color w:val="231F20"/>
          <w:spacing w:val="-12"/>
          <w:w w:val="110"/>
        </w:rPr>
        <w:t> </w:t>
      </w:r>
      <w:r>
        <w:rPr>
          <w:color w:val="231F20"/>
          <w:w w:val="110"/>
        </w:rPr>
        <w:t>attached</w:t>
      </w:r>
      <w:r>
        <w:rPr>
          <w:color w:val="231F20"/>
          <w:spacing w:val="-11"/>
          <w:w w:val="110"/>
        </w:rPr>
        <w:t> </w:t>
      </w:r>
      <w:r>
        <w:rPr>
          <w:color w:val="231F20"/>
          <w:w w:val="110"/>
        </w:rPr>
        <w:t>hereto</w:t>
      </w:r>
      <w:r>
        <w:rPr>
          <w:color w:val="231F20"/>
          <w:spacing w:val="-12"/>
          <w:w w:val="110"/>
        </w:rPr>
        <w:t> </w:t>
      </w:r>
      <w:r>
        <w:rPr>
          <w:color w:val="231F20"/>
          <w:w w:val="110"/>
        </w:rPr>
        <w:t>as</w:t>
      </w:r>
      <w:r>
        <w:rPr>
          <w:color w:val="231F20"/>
          <w:spacing w:val="-12"/>
          <w:w w:val="110"/>
        </w:rPr>
        <w:t> </w:t>
      </w:r>
      <w:r>
        <w:rPr>
          <w:color w:val="231F20"/>
          <w:w w:val="110"/>
          <w:u w:val="single" w:color="231F20"/>
        </w:rPr>
        <w:t>Exhibit</w:t>
      </w:r>
      <w:r>
        <w:rPr>
          <w:color w:val="231F20"/>
          <w:spacing w:val="-11"/>
          <w:w w:val="110"/>
          <w:u w:val="single" w:color="231F20"/>
        </w:rPr>
        <w:t> </w:t>
      </w:r>
      <w:r>
        <w:rPr>
          <w:color w:val="231F20"/>
          <w:w w:val="110"/>
          <w:u w:val="single" w:color="231F20"/>
        </w:rPr>
        <w:t>99.2</w:t>
      </w:r>
      <w:r>
        <w:rPr>
          <w:color w:val="231F20"/>
          <w:spacing w:val="-12"/>
          <w:w w:val="110"/>
        </w:rPr>
        <w:t> </w:t>
      </w:r>
      <w:r>
        <w:rPr>
          <w:color w:val="231F20"/>
          <w:w w:val="110"/>
        </w:rPr>
        <w:t>and</w:t>
      </w:r>
      <w:r>
        <w:rPr>
          <w:color w:val="231F20"/>
          <w:spacing w:val="-12"/>
          <w:w w:val="110"/>
        </w:rPr>
        <w:t> </w:t>
      </w:r>
      <w:r>
        <w:rPr>
          <w:color w:val="231F20"/>
          <w:w w:val="110"/>
        </w:rPr>
        <w:t>is</w:t>
      </w:r>
      <w:r>
        <w:rPr>
          <w:color w:val="231F20"/>
          <w:spacing w:val="-11"/>
          <w:w w:val="110"/>
        </w:rPr>
        <w:t> </w:t>
      </w:r>
      <w:r>
        <w:rPr>
          <w:color w:val="231F20"/>
          <w:w w:val="110"/>
        </w:rPr>
        <w:t>incorporated</w:t>
      </w:r>
      <w:r>
        <w:rPr>
          <w:color w:val="231F20"/>
          <w:spacing w:val="-12"/>
          <w:w w:val="110"/>
        </w:rPr>
        <w:t> </w:t>
      </w:r>
      <w:r>
        <w:rPr>
          <w:color w:val="231F20"/>
          <w:w w:val="110"/>
        </w:rPr>
        <w:t>herein</w:t>
      </w:r>
      <w:r>
        <w:rPr>
          <w:color w:val="231F20"/>
          <w:spacing w:val="-11"/>
          <w:w w:val="110"/>
        </w:rPr>
        <w:t> </w:t>
      </w:r>
      <w:r>
        <w:rPr>
          <w:color w:val="231F20"/>
          <w:w w:val="110"/>
        </w:rPr>
        <w:t>by</w:t>
      </w:r>
      <w:r>
        <w:rPr>
          <w:color w:val="231F20"/>
          <w:spacing w:val="-12"/>
          <w:w w:val="110"/>
        </w:rPr>
        <w:t> </w:t>
      </w:r>
      <w:r>
        <w:rPr>
          <w:color w:val="231F20"/>
          <w:w w:val="110"/>
        </w:rPr>
        <w:t>reference.</w:t>
      </w:r>
    </w:p>
    <w:p>
      <w:pPr>
        <w:pStyle w:val="BodyText"/>
        <w:spacing w:line="249" w:lineRule="auto" w:before="161"/>
        <w:ind w:left="1090" w:right="1322" w:firstLine="399"/>
      </w:pPr>
      <w:r>
        <w:rPr>
          <w:color w:val="231F20"/>
          <w:w w:val="105"/>
        </w:rPr>
        <w:t>A form of Voting Ballot for holders of the Company’s ordinary shares is attached hereto as </w:t>
      </w:r>
      <w:r>
        <w:rPr>
          <w:color w:val="231F20"/>
          <w:w w:val="105"/>
          <w:u w:val="single" w:color="231F20"/>
        </w:rPr>
        <w:t>Exhibit 99.3</w:t>
      </w:r>
      <w:r>
        <w:rPr>
          <w:color w:val="231F20"/>
          <w:w w:val="105"/>
        </w:rPr>
        <w:t> and is incorporated herein by reference.</w:t>
      </w:r>
    </w:p>
    <w:p>
      <w:pPr>
        <w:pStyle w:val="BodyText"/>
        <w:spacing w:line="249" w:lineRule="auto" w:before="160"/>
        <w:ind w:left="1090" w:right="1446" w:firstLine="399"/>
        <w:jc w:val="both"/>
      </w:pPr>
      <w:r>
        <w:rPr>
          <w:color w:val="231F20"/>
          <w:w w:val="105"/>
        </w:rPr>
        <w:t>This Report on </w:t>
      </w:r>
      <w:r>
        <w:rPr>
          <w:color w:val="231F20"/>
          <w:spacing w:val="-3"/>
          <w:w w:val="105"/>
        </w:rPr>
        <w:t>Form </w:t>
      </w:r>
      <w:r>
        <w:rPr>
          <w:color w:val="231F20"/>
          <w:w w:val="105"/>
        </w:rPr>
        <w:t>6-K, including the Notice </w:t>
      </w:r>
      <w:r>
        <w:rPr>
          <w:color w:val="231F20"/>
          <w:spacing w:val="-3"/>
          <w:w w:val="105"/>
        </w:rPr>
        <w:t>for </w:t>
      </w:r>
      <w:r>
        <w:rPr>
          <w:color w:val="231F20"/>
          <w:w w:val="105"/>
        </w:rPr>
        <w:t>the </w:t>
      </w:r>
      <w:r>
        <w:rPr>
          <w:color w:val="231F20"/>
          <w:spacing w:val="-3"/>
          <w:w w:val="105"/>
        </w:rPr>
        <w:t>Annual </w:t>
      </w:r>
      <w:r>
        <w:rPr>
          <w:color w:val="231F20"/>
          <w:w w:val="105"/>
        </w:rPr>
        <w:t>General Meeting, the </w:t>
      </w:r>
      <w:r>
        <w:rPr>
          <w:color w:val="231F20"/>
          <w:spacing w:val="-3"/>
          <w:w w:val="105"/>
        </w:rPr>
        <w:t>Proxy </w:t>
      </w:r>
      <w:r>
        <w:rPr>
          <w:color w:val="231F20"/>
          <w:w w:val="105"/>
        </w:rPr>
        <w:t>Statement, the </w:t>
      </w:r>
      <w:r>
        <w:rPr>
          <w:color w:val="231F20"/>
          <w:spacing w:val="-4"/>
          <w:w w:val="105"/>
        </w:rPr>
        <w:t>Voting </w:t>
      </w:r>
      <w:r>
        <w:rPr>
          <w:color w:val="231F20"/>
          <w:w w:val="105"/>
        </w:rPr>
        <w:t>Instruction </w:t>
      </w:r>
      <w:r>
        <w:rPr>
          <w:color w:val="231F20"/>
          <w:spacing w:val="-3"/>
          <w:w w:val="105"/>
        </w:rPr>
        <w:t>Form for </w:t>
      </w:r>
      <w:r>
        <w:rPr>
          <w:color w:val="231F20"/>
          <w:w w:val="105"/>
        </w:rPr>
        <w:t>holders of the </w:t>
      </w:r>
      <w:r>
        <w:rPr>
          <w:color w:val="231F20"/>
          <w:spacing w:val="-3"/>
          <w:w w:val="105"/>
        </w:rPr>
        <w:t>Company’s </w:t>
      </w:r>
      <w:r>
        <w:rPr>
          <w:color w:val="231F20"/>
          <w:w w:val="105"/>
        </w:rPr>
        <w:t>ADSs and the form of </w:t>
      </w:r>
      <w:r>
        <w:rPr>
          <w:color w:val="231F20"/>
          <w:spacing w:val="-4"/>
          <w:w w:val="105"/>
        </w:rPr>
        <w:t>Voting </w:t>
      </w:r>
      <w:r>
        <w:rPr>
          <w:color w:val="231F20"/>
          <w:w w:val="105"/>
        </w:rPr>
        <w:t>Ballot </w:t>
      </w:r>
      <w:r>
        <w:rPr>
          <w:color w:val="231F20"/>
          <w:spacing w:val="-3"/>
          <w:w w:val="105"/>
        </w:rPr>
        <w:t>for </w:t>
      </w:r>
      <w:r>
        <w:rPr>
          <w:color w:val="231F20"/>
          <w:w w:val="105"/>
        </w:rPr>
        <w:t>holders of the </w:t>
      </w:r>
      <w:r>
        <w:rPr>
          <w:color w:val="231F20"/>
          <w:spacing w:val="-3"/>
          <w:w w:val="105"/>
        </w:rPr>
        <w:t>Company’s </w:t>
      </w:r>
      <w:r>
        <w:rPr>
          <w:color w:val="231F20"/>
          <w:w w:val="105"/>
        </w:rPr>
        <w:t>ordinary shares attached to this Report on </w:t>
      </w:r>
      <w:r>
        <w:rPr>
          <w:color w:val="231F20"/>
          <w:spacing w:val="-3"/>
          <w:w w:val="105"/>
        </w:rPr>
        <w:t>Form </w:t>
      </w:r>
      <w:r>
        <w:rPr>
          <w:color w:val="231F20"/>
          <w:w w:val="105"/>
        </w:rPr>
        <w:t>6-K, will </w:t>
      </w:r>
      <w:r>
        <w:rPr>
          <w:color w:val="231F20"/>
          <w:spacing w:val="-3"/>
          <w:w w:val="105"/>
        </w:rPr>
        <w:t>also </w:t>
      </w:r>
      <w:r>
        <w:rPr>
          <w:color w:val="231F20"/>
          <w:w w:val="105"/>
        </w:rPr>
        <w:t>be made </w:t>
      </w:r>
      <w:r>
        <w:rPr>
          <w:color w:val="231F20"/>
          <w:spacing w:val="-4"/>
          <w:w w:val="105"/>
        </w:rPr>
        <w:t>available</w:t>
      </w:r>
      <w:r>
        <w:rPr>
          <w:color w:val="231F20"/>
          <w:spacing w:val="15"/>
          <w:w w:val="105"/>
        </w:rPr>
        <w:t> </w:t>
      </w:r>
      <w:r>
        <w:rPr>
          <w:color w:val="231F20"/>
          <w:w w:val="105"/>
        </w:rPr>
        <w:t>on</w:t>
      </w:r>
    </w:p>
    <w:p>
      <w:pPr>
        <w:pStyle w:val="BodyText"/>
        <w:spacing w:line="249" w:lineRule="auto" w:before="1"/>
        <w:ind w:left="1090" w:right="1386"/>
      </w:pPr>
      <w:r>
        <w:rPr>
          <w:color w:val="231F20"/>
          <w:w w:val="105"/>
        </w:rPr>
        <w:t>the </w:t>
      </w:r>
      <w:r>
        <w:rPr>
          <w:color w:val="231F20"/>
          <w:spacing w:val="-3"/>
          <w:w w:val="105"/>
        </w:rPr>
        <w:t>Company’s </w:t>
      </w:r>
      <w:r>
        <w:rPr>
          <w:color w:val="231F20"/>
          <w:w w:val="105"/>
        </w:rPr>
        <w:t>corporate website </w:t>
      </w:r>
      <w:r>
        <w:rPr>
          <w:color w:val="231F20"/>
          <w:spacing w:val="-3"/>
          <w:w w:val="105"/>
        </w:rPr>
        <w:t>at </w:t>
      </w:r>
      <w:hyperlink r:id="rId6">
        <w:r>
          <w:rPr>
            <w:color w:val="231F20"/>
            <w:w w:val="105"/>
          </w:rPr>
          <w:t>www.shl-telemedicine.com. </w:t>
        </w:r>
      </w:hyperlink>
      <w:r>
        <w:rPr>
          <w:color w:val="231F20"/>
          <w:w w:val="105"/>
        </w:rPr>
        <w:t>Information contained on, or that can be accessed through, the </w:t>
      </w:r>
      <w:r>
        <w:rPr>
          <w:color w:val="231F20"/>
          <w:spacing w:val="-3"/>
          <w:w w:val="105"/>
        </w:rPr>
        <w:t>Company’s </w:t>
      </w:r>
      <w:r>
        <w:rPr>
          <w:color w:val="231F20"/>
          <w:w w:val="105"/>
        </w:rPr>
        <w:t>website, does not constitute a part of  this Report on </w:t>
      </w:r>
      <w:r>
        <w:rPr>
          <w:color w:val="231F20"/>
          <w:spacing w:val="-3"/>
          <w:w w:val="105"/>
        </w:rPr>
        <w:t>Form </w:t>
      </w:r>
      <w:r>
        <w:rPr>
          <w:color w:val="231F20"/>
          <w:w w:val="105"/>
        </w:rPr>
        <w:t>6-K, nor does  it</w:t>
      </w:r>
      <w:r>
        <w:rPr>
          <w:color w:val="231F20"/>
          <w:spacing w:val="-8"/>
          <w:w w:val="105"/>
        </w:rPr>
        <w:t> </w:t>
      </w:r>
      <w:r>
        <w:rPr>
          <w:color w:val="231F20"/>
          <w:w w:val="105"/>
        </w:rPr>
        <w:t>form</w:t>
      </w:r>
      <w:r>
        <w:rPr>
          <w:color w:val="231F20"/>
          <w:spacing w:val="-7"/>
          <w:w w:val="105"/>
        </w:rPr>
        <w:t> </w:t>
      </w:r>
      <w:r>
        <w:rPr>
          <w:color w:val="231F20"/>
          <w:w w:val="105"/>
        </w:rPr>
        <w:t>part</w:t>
      </w:r>
      <w:r>
        <w:rPr>
          <w:color w:val="231F20"/>
          <w:spacing w:val="-7"/>
          <w:w w:val="105"/>
        </w:rPr>
        <w:t> </w:t>
      </w:r>
      <w:r>
        <w:rPr>
          <w:color w:val="231F20"/>
          <w:w w:val="105"/>
        </w:rPr>
        <w:t>of</w:t>
      </w:r>
      <w:r>
        <w:rPr>
          <w:color w:val="231F20"/>
          <w:spacing w:val="15"/>
          <w:w w:val="105"/>
        </w:rPr>
        <w:t> </w:t>
      </w:r>
      <w:r>
        <w:rPr>
          <w:color w:val="231F20"/>
          <w:w w:val="105"/>
        </w:rPr>
        <w:t>the</w:t>
      </w:r>
      <w:r>
        <w:rPr>
          <w:color w:val="231F20"/>
          <w:spacing w:val="-8"/>
          <w:w w:val="105"/>
        </w:rPr>
        <w:t> </w:t>
      </w:r>
      <w:r>
        <w:rPr>
          <w:color w:val="231F20"/>
          <w:spacing w:val="-3"/>
          <w:w w:val="105"/>
        </w:rPr>
        <w:t>proxy</w:t>
      </w:r>
      <w:r>
        <w:rPr>
          <w:color w:val="231F20"/>
          <w:spacing w:val="-7"/>
          <w:w w:val="105"/>
        </w:rPr>
        <w:t> </w:t>
      </w:r>
      <w:r>
        <w:rPr>
          <w:color w:val="231F20"/>
          <w:w w:val="105"/>
        </w:rPr>
        <w:t>solicitation</w:t>
      </w:r>
      <w:r>
        <w:rPr>
          <w:color w:val="231F20"/>
          <w:spacing w:val="-7"/>
          <w:w w:val="105"/>
        </w:rPr>
        <w:t> </w:t>
      </w:r>
      <w:r>
        <w:rPr>
          <w:color w:val="231F20"/>
          <w:w w:val="105"/>
        </w:rPr>
        <w:t>materials</w:t>
      </w:r>
      <w:r>
        <w:rPr>
          <w:color w:val="231F20"/>
          <w:spacing w:val="-8"/>
          <w:w w:val="105"/>
        </w:rPr>
        <w:t> </w:t>
      </w:r>
      <w:r>
        <w:rPr>
          <w:color w:val="231F20"/>
          <w:w w:val="105"/>
        </w:rPr>
        <w:t>in</w:t>
      </w:r>
      <w:r>
        <w:rPr>
          <w:color w:val="231F20"/>
          <w:spacing w:val="-7"/>
          <w:w w:val="105"/>
        </w:rPr>
        <w:t> </w:t>
      </w:r>
      <w:r>
        <w:rPr>
          <w:color w:val="231F20"/>
          <w:w w:val="105"/>
        </w:rPr>
        <w:t>connection</w:t>
      </w:r>
      <w:r>
        <w:rPr>
          <w:color w:val="231F20"/>
          <w:spacing w:val="-7"/>
          <w:w w:val="105"/>
        </w:rPr>
        <w:t> </w:t>
      </w:r>
      <w:r>
        <w:rPr>
          <w:color w:val="231F20"/>
          <w:w w:val="105"/>
        </w:rPr>
        <w:t>with</w:t>
      </w:r>
      <w:r>
        <w:rPr>
          <w:color w:val="231F20"/>
          <w:spacing w:val="-8"/>
          <w:w w:val="105"/>
        </w:rPr>
        <w:t> </w:t>
      </w:r>
      <w:r>
        <w:rPr>
          <w:color w:val="231F20"/>
          <w:w w:val="105"/>
        </w:rPr>
        <w:t>the</w:t>
      </w:r>
      <w:r>
        <w:rPr>
          <w:color w:val="231F20"/>
          <w:spacing w:val="-7"/>
          <w:w w:val="105"/>
        </w:rPr>
        <w:t> </w:t>
      </w:r>
      <w:r>
        <w:rPr>
          <w:color w:val="231F20"/>
          <w:spacing w:val="-3"/>
          <w:w w:val="105"/>
        </w:rPr>
        <w:t>Annual</w:t>
      </w:r>
      <w:r>
        <w:rPr>
          <w:color w:val="231F20"/>
          <w:spacing w:val="-7"/>
          <w:w w:val="105"/>
        </w:rPr>
        <w:t> </w:t>
      </w:r>
      <w:r>
        <w:rPr>
          <w:color w:val="231F20"/>
          <w:w w:val="105"/>
        </w:rPr>
        <w:t>General</w:t>
      </w:r>
      <w:r>
        <w:rPr>
          <w:color w:val="231F20"/>
          <w:spacing w:val="-8"/>
          <w:w w:val="105"/>
        </w:rPr>
        <w:t> </w:t>
      </w:r>
      <w:r>
        <w:rPr>
          <w:color w:val="231F20"/>
          <w:w w:val="105"/>
        </w:rPr>
        <w:t>Meeting.</w:t>
      </w:r>
      <w:r>
        <w:rPr>
          <w:color w:val="231F20"/>
          <w:spacing w:val="-7"/>
          <w:w w:val="105"/>
        </w:rPr>
        <w:t> </w:t>
      </w:r>
      <w:r>
        <w:rPr>
          <w:color w:val="231F20"/>
          <w:w w:val="105"/>
        </w:rPr>
        <w:t>The</w:t>
      </w:r>
      <w:r>
        <w:rPr>
          <w:color w:val="231F20"/>
          <w:spacing w:val="-7"/>
          <w:w w:val="105"/>
        </w:rPr>
        <w:t> </w:t>
      </w:r>
      <w:r>
        <w:rPr>
          <w:color w:val="231F20"/>
          <w:w w:val="105"/>
        </w:rPr>
        <w:t>Company has included its website address in this Report on </w:t>
      </w:r>
      <w:r>
        <w:rPr>
          <w:color w:val="231F20"/>
          <w:spacing w:val="-3"/>
          <w:w w:val="105"/>
        </w:rPr>
        <w:t>Form </w:t>
      </w:r>
      <w:r>
        <w:rPr>
          <w:color w:val="231F20"/>
          <w:w w:val="105"/>
        </w:rPr>
        <w:t>6-K solely as an inactive textual reference. The Company will post on its website </w:t>
      </w:r>
      <w:r>
        <w:rPr>
          <w:color w:val="231F20"/>
          <w:spacing w:val="-3"/>
          <w:w w:val="105"/>
        </w:rPr>
        <w:t>any </w:t>
      </w:r>
      <w:r>
        <w:rPr>
          <w:color w:val="231F20"/>
          <w:w w:val="105"/>
        </w:rPr>
        <w:t>materials in connection with the </w:t>
      </w:r>
      <w:r>
        <w:rPr>
          <w:color w:val="231F20"/>
          <w:spacing w:val="-3"/>
          <w:w w:val="105"/>
        </w:rPr>
        <w:t>Annual </w:t>
      </w:r>
      <w:r>
        <w:rPr>
          <w:color w:val="231F20"/>
          <w:w w:val="105"/>
        </w:rPr>
        <w:t>General Meeting required to be posted on such website under applicable corporate or securities </w:t>
      </w:r>
      <w:r>
        <w:rPr>
          <w:color w:val="231F20"/>
          <w:spacing w:val="-4"/>
          <w:w w:val="105"/>
        </w:rPr>
        <w:t>laws </w:t>
      </w:r>
      <w:r>
        <w:rPr>
          <w:color w:val="231F20"/>
          <w:w w:val="105"/>
        </w:rPr>
        <w:t>and</w:t>
      </w:r>
      <w:r>
        <w:rPr>
          <w:color w:val="231F20"/>
          <w:spacing w:val="-32"/>
          <w:w w:val="105"/>
        </w:rPr>
        <w:t> </w:t>
      </w:r>
      <w:r>
        <w:rPr>
          <w:color w:val="231F20"/>
          <w:w w:val="105"/>
        </w:rPr>
        <w:t>regulations.</w:t>
      </w:r>
    </w:p>
    <w:p>
      <w:pPr>
        <w:spacing w:after="0" w:line="249" w:lineRule="auto"/>
        <w:sectPr>
          <w:footerReference w:type="default" r:id="rId5"/>
          <w:pgSz w:w="11880" w:h="15480"/>
          <w:pgMar w:footer="664" w:header="0" w:top="940" w:bottom="860" w:left="300" w:right="0"/>
          <w:pgNumType w:start="1"/>
        </w:sectPr>
      </w:pPr>
    </w:p>
    <w:p>
      <w:pPr>
        <w:tabs>
          <w:tab w:pos="5666" w:val="left" w:leader="none"/>
        </w:tabs>
        <w:spacing w:before="85"/>
        <w:ind w:left="1132" w:right="0" w:firstLine="0"/>
        <w:jc w:val="left"/>
        <w:rPr>
          <w:b/>
          <w:sz w:val="16"/>
        </w:rPr>
      </w:pPr>
      <w:r>
        <w:rPr/>
        <w:pict>
          <v:shape style="position:absolute;margin-left:69.504997pt;margin-top:15.959023pt;width:28.95pt;height:.1pt;mso-position-horizontal-relative:page;mso-position-vertical-relative:paragraph;z-index:-15727616;mso-wrap-distance-left:0;mso-wrap-distance-right:0" coordorigin="1390,319" coordsize="579,0" path="m1390,319l1969,319e" filled="false" stroked="true" strokeweight=".499pt" strokecolor="#231f20">
            <v:path arrowok="t"/>
            <v:stroke dashstyle="solid"/>
            <w10:wrap type="topAndBottom"/>
          </v:shape>
        </w:pict>
      </w:r>
      <w:r>
        <w:rPr/>
        <w:pict>
          <v:shape style="position:absolute;margin-left:110.415001pt;margin-top:15.959023pt;width:414.1pt;height:.1pt;mso-position-horizontal-relative:page;mso-position-vertical-relative:paragraph;z-index:-15727104;mso-wrap-distance-left:0;mso-wrap-distance-right:0" coordorigin="2208,319" coordsize="8282,0" path="m2208,319l10490,319e" filled="false" stroked="true" strokeweight=".499pt" strokecolor="#231f20">
            <v:path arrowok="t"/>
            <v:stroke dashstyle="solid"/>
            <w10:wrap type="topAndBottom"/>
          </v:shape>
        </w:pict>
      </w:r>
      <w:r>
        <w:rPr>
          <w:b/>
          <w:color w:val="231F20"/>
          <w:sz w:val="16"/>
        </w:rPr>
        <w:t>Exhibit</w:t>
        <w:tab/>
        <w:t>Description</w:t>
      </w:r>
    </w:p>
    <w:p>
      <w:pPr>
        <w:pStyle w:val="ListParagraph"/>
        <w:numPr>
          <w:ilvl w:val="1"/>
          <w:numId w:val="1"/>
        </w:numPr>
        <w:tabs>
          <w:tab w:pos="1908" w:val="left" w:leader="none"/>
          <w:tab w:pos="1909" w:val="left" w:leader="none"/>
        </w:tabs>
        <w:spacing w:line="249" w:lineRule="auto" w:before="3" w:after="0"/>
        <w:ind w:left="1908" w:right="1816" w:hanging="819"/>
        <w:jc w:val="left"/>
        <w:rPr>
          <w:sz w:val="20"/>
        </w:rPr>
      </w:pPr>
      <w:r>
        <w:rPr>
          <w:color w:val="231F20"/>
          <w:w w:val="105"/>
          <w:sz w:val="20"/>
        </w:rPr>
        <w:t>Notice of the </w:t>
      </w:r>
      <w:r>
        <w:rPr>
          <w:color w:val="231F20"/>
          <w:spacing w:val="-3"/>
          <w:w w:val="105"/>
          <w:sz w:val="20"/>
        </w:rPr>
        <w:t>Annual </w:t>
      </w:r>
      <w:r>
        <w:rPr>
          <w:color w:val="231F20"/>
          <w:w w:val="105"/>
          <w:sz w:val="20"/>
        </w:rPr>
        <w:t>General Meeting of Shareholders of SHL Telemedicine Ltd. and </w:t>
      </w:r>
      <w:r>
        <w:rPr>
          <w:color w:val="231F20"/>
          <w:spacing w:val="-3"/>
          <w:w w:val="105"/>
          <w:sz w:val="20"/>
        </w:rPr>
        <w:t>Proxy </w:t>
      </w:r>
      <w:r>
        <w:rPr>
          <w:color w:val="231F20"/>
          <w:w w:val="105"/>
          <w:sz w:val="20"/>
        </w:rPr>
        <w:t>Statement </w:t>
      </w:r>
      <w:r>
        <w:rPr>
          <w:color w:val="231F20"/>
          <w:spacing w:val="-3"/>
          <w:w w:val="105"/>
          <w:sz w:val="20"/>
        </w:rPr>
        <w:t>for </w:t>
      </w:r>
      <w:r>
        <w:rPr>
          <w:color w:val="231F20"/>
          <w:w w:val="105"/>
          <w:sz w:val="20"/>
        </w:rPr>
        <w:t>the </w:t>
      </w:r>
      <w:r>
        <w:rPr>
          <w:color w:val="231F20"/>
          <w:spacing w:val="-3"/>
          <w:w w:val="105"/>
          <w:sz w:val="20"/>
        </w:rPr>
        <w:t>Annual </w:t>
      </w:r>
      <w:r>
        <w:rPr>
          <w:color w:val="231F20"/>
          <w:w w:val="105"/>
          <w:sz w:val="20"/>
        </w:rPr>
        <w:t>General Meeting of Shareholders of SHL Telemedicine</w:t>
      </w:r>
      <w:r>
        <w:rPr>
          <w:color w:val="231F20"/>
          <w:spacing w:val="32"/>
          <w:w w:val="105"/>
          <w:sz w:val="20"/>
        </w:rPr>
        <w:t> </w:t>
      </w:r>
      <w:r>
        <w:rPr>
          <w:color w:val="231F20"/>
          <w:w w:val="105"/>
          <w:sz w:val="20"/>
        </w:rPr>
        <w:t>Ltd.</w:t>
      </w:r>
    </w:p>
    <w:p>
      <w:pPr>
        <w:pStyle w:val="ListParagraph"/>
        <w:numPr>
          <w:ilvl w:val="1"/>
          <w:numId w:val="1"/>
        </w:numPr>
        <w:tabs>
          <w:tab w:pos="1908" w:val="left" w:leader="none"/>
          <w:tab w:pos="1909" w:val="left" w:leader="none"/>
        </w:tabs>
        <w:spacing w:line="240" w:lineRule="auto" w:before="61" w:after="0"/>
        <w:ind w:left="1908" w:right="0" w:hanging="819"/>
        <w:jc w:val="left"/>
        <w:rPr>
          <w:sz w:val="20"/>
        </w:rPr>
      </w:pPr>
      <w:r>
        <w:rPr>
          <w:color w:val="231F20"/>
          <w:spacing w:val="-4"/>
          <w:w w:val="110"/>
          <w:sz w:val="20"/>
        </w:rPr>
        <w:t>Voting </w:t>
      </w:r>
      <w:r>
        <w:rPr>
          <w:color w:val="231F20"/>
          <w:w w:val="110"/>
          <w:sz w:val="20"/>
        </w:rPr>
        <w:t>Instruction </w:t>
      </w:r>
      <w:r>
        <w:rPr>
          <w:color w:val="231F20"/>
          <w:spacing w:val="-3"/>
          <w:w w:val="110"/>
          <w:sz w:val="20"/>
        </w:rPr>
        <w:t>Form for </w:t>
      </w:r>
      <w:r>
        <w:rPr>
          <w:color w:val="231F20"/>
          <w:w w:val="110"/>
          <w:sz w:val="20"/>
        </w:rPr>
        <w:t>holders of American Depositary</w:t>
      </w:r>
      <w:r>
        <w:rPr>
          <w:color w:val="231F20"/>
          <w:spacing w:val="-32"/>
          <w:w w:val="110"/>
          <w:sz w:val="20"/>
        </w:rPr>
        <w:t> </w:t>
      </w:r>
      <w:r>
        <w:rPr>
          <w:color w:val="231F20"/>
          <w:spacing w:val="-3"/>
          <w:w w:val="110"/>
          <w:sz w:val="20"/>
        </w:rPr>
        <w:t>Shares.</w:t>
      </w:r>
    </w:p>
    <w:p>
      <w:pPr>
        <w:pStyle w:val="ListParagraph"/>
        <w:numPr>
          <w:ilvl w:val="1"/>
          <w:numId w:val="1"/>
        </w:numPr>
        <w:tabs>
          <w:tab w:pos="1908" w:val="left" w:leader="none"/>
          <w:tab w:pos="1909" w:val="left" w:leader="none"/>
        </w:tabs>
        <w:spacing w:line="240" w:lineRule="auto" w:before="69" w:after="0"/>
        <w:ind w:left="1908" w:right="0" w:hanging="819"/>
        <w:jc w:val="left"/>
        <w:rPr>
          <w:sz w:val="20"/>
        </w:rPr>
      </w:pPr>
      <w:r>
        <w:rPr>
          <w:color w:val="231F20"/>
          <w:spacing w:val="-3"/>
          <w:w w:val="110"/>
          <w:sz w:val="20"/>
        </w:rPr>
        <w:t>Form </w:t>
      </w:r>
      <w:r>
        <w:rPr>
          <w:color w:val="231F20"/>
          <w:w w:val="110"/>
          <w:sz w:val="20"/>
        </w:rPr>
        <w:t>of </w:t>
      </w:r>
      <w:r>
        <w:rPr>
          <w:color w:val="231F20"/>
          <w:spacing w:val="-4"/>
          <w:w w:val="110"/>
          <w:sz w:val="20"/>
        </w:rPr>
        <w:t>Voting </w:t>
      </w:r>
      <w:r>
        <w:rPr>
          <w:color w:val="231F20"/>
          <w:w w:val="110"/>
          <w:sz w:val="20"/>
        </w:rPr>
        <w:t>Ballot </w:t>
      </w:r>
      <w:r>
        <w:rPr>
          <w:color w:val="231F20"/>
          <w:spacing w:val="-3"/>
          <w:w w:val="110"/>
          <w:sz w:val="20"/>
        </w:rPr>
        <w:t>for </w:t>
      </w:r>
      <w:r>
        <w:rPr>
          <w:color w:val="231F20"/>
          <w:w w:val="110"/>
          <w:sz w:val="20"/>
        </w:rPr>
        <w:t>holders of Ordinary</w:t>
      </w:r>
      <w:r>
        <w:rPr>
          <w:color w:val="231F20"/>
          <w:spacing w:val="-10"/>
          <w:w w:val="110"/>
          <w:sz w:val="20"/>
        </w:rPr>
        <w:t> </w:t>
      </w:r>
      <w:r>
        <w:rPr>
          <w:color w:val="231F20"/>
          <w:spacing w:val="-3"/>
          <w:w w:val="110"/>
          <w:sz w:val="20"/>
        </w:rPr>
        <w:t>Shares.</w:t>
      </w:r>
    </w:p>
    <w:p>
      <w:pPr>
        <w:spacing w:after="0" w:line="240" w:lineRule="auto"/>
        <w:jc w:val="left"/>
        <w:rPr>
          <w:sz w:val="20"/>
        </w:rPr>
        <w:sectPr>
          <w:pgSz w:w="11880" w:h="15480"/>
          <w:pgMar w:header="0" w:footer="664" w:top="940" w:bottom="860" w:left="300" w:right="0"/>
        </w:sectPr>
      </w:pPr>
    </w:p>
    <w:p>
      <w:pPr>
        <w:pStyle w:val="Heading2"/>
        <w:spacing w:before="87"/>
        <w:ind w:left="1720" w:right="2017"/>
        <w:jc w:val="center"/>
      </w:pPr>
      <w:r>
        <w:rPr>
          <w:color w:val="231F20"/>
        </w:rPr>
        <w:t>SIGNATURE</w:t>
      </w:r>
    </w:p>
    <w:p>
      <w:pPr>
        <w:pStyle w:val="BodyText"/>
        <w:spacing w:line="249" w:lineRule="auto" w:before="169"/>
        <w:ind w:left="1090" w:right="1553" w:firstLine="399"/>
      </w:pPr>
      <w:r>
        <w:rPr>
          <w:color w:val="231F20"/>
          <w:w w:val="105"/>
        </w:rPr>
        <w:t>Pursuant to the requirements of the Securities Exchange Act of 1934, the registrant has duly caused this report to be signed on its behalf by the undersigned, thereunto duly authorized.</w:t>
      </w:r>
    </w:p>
    <w:p>
      <w:pPr>
        <w:pStyle w:val="BodyText"/>
        <w:spacing w:before="10"/>
      </w:pPr>
    </w:p>
    <w:p>
      <w:pPr>
        <w:pStyle w:val="Heading2"/>
        <w:spacing w:before="1"/>
        <w:ind w:left="5879"/>
      </w:pPr>
      <w:r>
        <w:rPr>
          <w:color w:val="231F20"/>
        </w:rPr>
        <w:t>SHL Telemedicine Ltd.</w:t>
      </w:r>
    </w:p>
    <w:p>
      <w:pPr>
        <w:pStyle w:val="BodyText"/>
        <w:spacing w:before="7"/>
        <w:rPr>
          <w:b/>
          <w:sz w:val="21"/>
        </w:rPr>
      </w:pPr>
    </w:p>
    <w:p>
      <w:pPr>
        <w:pStyle w:val="BodyText"/>
        <w:tabs>
          <w:tab w:pos="10189" w:val="left" w:leader="none"/>
        </w:tabs>
        <w:spacing w:line="290" w:lineRule="auto"/>
        <w:ind w:left="6278" w:right="1388" w:hanging="400"/>
      </w:pPr>
      <w:r>
        <w:rPr>
          <w:color w:val="231F20"/>
          <w:w w:val="105"/>
        </w:rPr>
        <w:t>By:  </w:t>
      </w:r>
      <w:r>
        <w:rPr>
          <w:color w:val="231F20"/>
          <w:w w:val="105"/>
          <w:u w:val="single" w:color="231F20"/>
        </w:rPr>
        <w:t>/s/</w:t>
      </w:r>
      <w:r>
        <w:rPr>
          <w:color w:val="231F20"/>
          <w:spacing w:val="-1"/>
          <w:w w:val="105"/>
          <w:u w:val="single" w:color="231F20"/>
        </w:rPr>
        <w:t> </w:t>
      </w:r>
      <w:r>
        <w:rPr>
          <w:color w:val="231F20"/>
          <w:w w:val="105"/>
          <w:u w:val="single" w:color="231F20"/>
        </w:rPr>
        <w:t>Amir</w:t>
      </w:r>
      <w:r>
        <w:rPr>
          <w:color w:val="231F20"/>
          <w:spacing w:val="-5"/>
          <w:w w:val="105"/>
          <w:u w:val="single" w:color="231F20"/>
        </w:rPr>
        <w:t> </w:t>
      </w:r>
      <w:r>
        <w:rPr>
          <w:color w:val="231F20"/>
          <w:w w:val="105"/>
          <w:u w:val="single" w:color="231F20"/>
        </w:rPr>
        <w:t>Hai</w:t>
      </w:r>
      <w:r>
        <w:rPr>
          <w:color w:val="231F20"/>
          <w:u w:val="single" w:color="231F20"/>
        </w:rPr>
        <w:tab/>
      </w:r>
      <w:r>
        <w:rPr>
          <w:color w:val="231F20"/>
        </w:rPr>
        <w:t>                                                </w:t>
      </w:r>
      <w:r>
        <w:rPr>
          <w:color w:val="231F20"/>
          <w:w w:val="105"/>
        </w:rPr>
        <w:t>Amir</w:t>
      </w:r>
      <w:r>
        <w:rPr>
          <w:color w:val="231F20"/>
          <w:spacing w:val="-4"/>
          <w:w w:val="105"/>
        </w:rPr>
        <w:t> </w:t>
      </w:r>
      <w:r>
        <w:rPr>
          <w:color w:val="231F20"/>
          <w:w w:val="105"/>
        </w:rPr>
        <w:t>Hai</w:t>
      </w:r>
    </w:p>
    <w:p>
      <w:pPr>
        <w:pStyle w:val="BodyText"/>
        <w:spacing w:line="192" w:lineRule="exact"/>
        <w:ind w:left="6278"/>
      </w:pPr>
      <w:r>
        <w:rPr>
          <w:color w:val="231F20"/>
          <w:w w:val="105"/>
        </w:rPr>
        <w:t>Chief Financial Officer</w:t>
      </w:r>
    </w:p>
    <w:p>
      <w:pPr>
        <w:pStyle w:val="BodyText"/>
        <w:spacing w:before="169"/>
        <w:ind w:left="1090"/>
      </w:pPr>
      <w:r>
        <w:rPr>
          <w:color w:val="231F20"/>
        </w:rPr>
        <w:t>December 28, 2023</w:t>
      </w:r>
    </w:p>
    <w:p>
      <w:pPr>
        <w:spacing w:after="0"/>
        <w:sectPr>
          <w:pgSz w:w="11880" w:h="15480"/>
          <w:pgMar w:header="0" w:footer="664" w:top="940" w:bottom="860" w:left="300" w:right="0"/>
        </w:sectPr>
      </w:pPr>
    </w:p>
    <w:p>
      <w:pPr>
        <w:pStyle w:val="BodyText"/>
        <w:rPr>
          <w:sz w:val="26"/>
        </w:rPr>
      </w:pPr>
    </w:p>
    <w:p>
      <w:pPr>
        <w:pStyle w:val="BodyText"/>
        <w:rPr>
          <w:sz w:val="26"/>
        </w:rPr>
      </w:pPr>
    </w:p>
    <w:p>
      <w:pPr>
        <w:pStyle w:val="BodyText"/>
        <w:spacing w:before="10"/>
        <w:rPr>
          <w:sz w:val="23"/>
        </w:rPr>
      </w:pPr>
    </w:p>
    <w:p>
      <w:pPr>
        <w:pStyle w:val="BodyText"/>
        <w:ind w:left="1090"/>
      </w:pPr>
      <w:r>
        <w:rPr>
          <w:color w:val="231F20"/>
          <w:w w:val="110"/>
        </w:rPr>
        <w:t>Dear </w:t>
      </w:r>
      <w:r>
        <w:rPr>
          <w:color w:val="231F20"/>
          <w:spacing w:val="-3"/>
          <w:w w:val="110"/>
        </w:rPr>
        <w:t>Shareholder,</w:t>
      </w:r>
    </w:p>
    <w:p>
      <w:pPr>
        <w:pStyle w:val="Heading2"/>
        <w:spacing w:before="80"/>
      </w:pPr>
      <w:r>
        <w:rPr>
          <w:b w:val="0"/>
        </w:rPr>
        <w:br w:type="column"/>
      </w:r>
      <w:r>
        <w:rPr>
          <w:color w:val="231F20"/>
        </w:rPr>
        <w:t>SHL Telemedicine</w:t>
      </w:r>
      <w:r>
        <w:rPr>
          <w:color w:val="231F20"/>
          <w:spacing w:val="-39"/>
        </w:rPr>
        <w:t> </w:t>
      </w:r>
      <w:r>
        <w:rPr>
          <w:color w:val="231F20"/>
        </w:rPr>
        <w:t>Ltd.</w:t>
      </w:r>
    </w:p>
    <w:p>
      <w:pPr>
        <w:pStyle w:val="BodyText"/>
        <w:rPr>
          <w:b/>
          <w:sz w:val="26"/>
        </w:rPr>
      </w:pPr>
      <w:r>
        <w:rPr/>
        <w:br w:type="column"/>
      </w:r>
      <w:r>
        <w:rPr>
          <w:b/>
          <w:sz w:val="26"/>
        </w:rPr>
      </w:r>
    </w:p>
    <w:p>
      <w:pPr>
        <w:pStyle w:val="BodyText"/>
        <w:spacing w:before="180"/>
        <w:ind w:left="1090"/>
      </w:pPr>
      <w:r>
        <w:rPr>
          <w:color w:val="231F20"/>
        </w:rPr>
        <w:t>December 28, 2023</w:t>
      </w:r>
    </w:p>
    <w:p>
      <w:pPr>
        <w:spacing w:after="0"/>
        <w:sectPr>
          <w:footerReference w:type="default" r:id="rId7"/>
          <w:pgSz w:w="11880" w:h="15480"/>
          <w:pgMar w:footer="0" w:header="0" w:top="1420" w:bottom="280" w:left="300" w:right="0"/>
          <w:cols w:num="3" w:equalWidth="0">
            <w:col w:w="2672" w:space="907"/>
            <w:col w:w="3073" w:space="830"/>
            <w:col w:w="4098"/>
          </w:cols>
        </w:sectPr>
      </w:pPr>
    </w:p>
    <w:p>
      <w:pPr>
        <w:pStyle w:val="BodyText"/>
        <w:spacing w:line="244" w:lineRule="auto" w:before="163"/>
        <w:ind w:left="1090" w:right="1369" w:firstLine="399"/>
      </w:pPr>
      <w:r>
        <w:rPr>
          <w:color w:val="231F20"/>
          <w:spacing w:val="-10"/>
          <w:w w:val="105"/>
        </w:rPr>
        <w:t>You </w:t>
      </w:r>
      <w:r>
        <w:rPr>
          <w:color w:val="231F20"/>
          <w:w w:val="105"/>
        </w:rPr>
        <w:t>are cordially invited to attend an </w:t>
      </w:r>
      <w:r>
        <w:rPr>
          <w:color w:val="231F20"/>
          <w:spacing w:val="-3"/>
          <w:w w:val="105"/>
        </w:rPr>
        <w:t>Annual </w:t>
      </w:r>
      <w:r>
        <w:rPr>
          <w:color w:val="231F20"/>
          <w:w w:val="105"/>
        </w:rPr>
        <w:t>General Meeting of Shareholders (the “</w:t>
      </w:r>
      <w:r>
        <w:rPr>
          <w:b/>
          <w:color w:val="231F20"/>
          <w:w w:val="105"/>
        </w:rPr>
        <w:t>Annual General Meeting</w:t>
      </w:r>
      <w:r>
        <w:rPr>
          <w:color w:val="231F20"/>
          <w:w w:val="105"/>
        </w:rPr>
        <w:t>”, or the “</w:t>
      </w:r>
      <w:r>
        <w:rPr>
          <w:b/>
          <w:color w:val="231F20"/>
          <w:w w:val="105"/>
        </w:rPr>
        <w:t>Meeting</w:t>
      </w:r>
      <w:r>
        <w:rPr>
          <w:color w:val="231F20"/>
          <w:w w:val="105"/>
        </w:rPr>
        <w:t>”) of SHL Telemedicine Ltd. (“</w:t>
      </w:r>
      <w:r>
        <w:rPr>
          <w:b/>
          <w:color w:val="231F20"/>
          <w:w w:val="105"/>
        </w:rPr>
        <w:t>SHL</w:t>
      </w:r>
      <w:r>
        <w:rPr>
          <w:color w:val="231F20"/>
          <w:w w:val="105"/>
        </w:rPr>
        <w:t>” or the “</w:t>
      </w:r>
      <w:r>
        <w:rPr>
          <w:b/>
          <w:color w:val="231F20"/>
          <w:w w:val="105"/>
        </w:rPr>
        <w:t>Company</w:t>
      </w:r>
      <w:r>
        <w:rPr>
          <w:color w:val="231F20"/>
          <w:w w:val="105"/>
        </w:rPr>
        <w:t>”), to be held </w:t>
      </w:r>
      <w:r>
        <w:rPr>
          <w:color w:val="231F20"/>
          <w:spacing w:val="-3"/>
          <w:w w:val="105"/>
        </w:rPr>
        <w:t>at </w:t>
      </w:r>
      <w:r>
        <w:rPr>
          <w:color w:val="231F20"/>
          <w:spacing w:val="-6"/>
          <w:w w:val="105"/>
        </w:rPr>
        <w:t>SHL’s </w:t>
      </w:r>
      <w:r>
        <w:rPr>
          <w:color w:val="231F20"/>
          <w:w w:val="105"/>
        </w:rPr>
        <w:t>offices </w:t>
      </w:r>
      <w:r>
        <w:rPr>
          <w:color w:val="231F20"/>
          <w:spacing w:val="-3"/>
          <w:w w:val="105"/>
        </w:rPr>
        <w:t>at </w:t>
      </w:r>
      <w:r>
        <w:rPr>
          <w:color w:val="231F20"/>
          <w:w w:val="105"/>
        </w:rPr>
        <w:t>Ashdar Building — 2</w:t>
      </w:r>
      <w:r>
        <w:rPr>
          <w:color w:val="231F20"/>
          <w:w w:val="105"/>
          <w:vertAlign w:val="superscript"/>
        </w:rPr>
        <w:t>nd</w:t>
      </w:r>
      <w:r>
        <w:rPr>
          <w:color w:val="231F20"/>
          <w:w w:val="105"/>
          <w:vertAlign w:val="baseline"/>
        </w:rPr>
        <w:t> </w:t>
      </w:r>
      <w:r>
        <w:rPr>
          <w:color w:val="231F20"/>
          <w:spacing w:val="-4"/>
          <w:w w:val="105"/>
          <w:vertAlign w:val="baseline"/>
        </w:rPr>
        <w:t>Floor, </w:t>
      </w:r>
      <w:r>
        <w:rPr>
          <w:color w:val="231F20"/>
          <w:w w:val="105"/>
          <w:vertAlign w:val="baseline"/>
        </w:rPr>
        <w:t>90 </w:t>
      </w:r>
      <w:r>
        <w:rPr>
          <w:color w:val="231F20"/>
          <w:spacing w:val="-4"/>
          <w:w w:val="105"/>
          <w:vertAlign w:val="baseline"/>
        </w:rPr>
        <w:t>Yigal </w:t>
      </w:r>
      <w:r>
        <w:rPr>
          <w:color w:val="231F20"/>
          <w:w w:val="105"/>
          <w:vertAlign w:val="baseline"/>
        </w:rPr>
        <w:t>Alon Street, </w:t>
      </w:r>
      <w:r>
        <w:rPr>
          <w:color w:val="231F20"/>
          <w:spacing w:val="-6"/>
          <w:w w:val="105"/>
          <w:vertAlign w:val="baseline"/>
        </w:rPr>
        <w:t>Tel </w:t>
      </w:r>
      <w:r>
        <w:rPr>
          <w:color w:val="231F20"/>
          <w:spacing w:val="-9"/>
          <w:w w:val="105"/>
          <w:vertAlign w:val="baseline"/>
        </w:rPr>
        <w:t>Aviv, </w:t>
      </w:r>
      <w:r>
        <w:rPr>
          <w:color w:val="231F20"/>
          <w:w w:val="105"/>
          <w:vertAlign w:val="baseline"/>
        </w:rPr>
        <w:t>Israel on </w:t>
      </w:r>
      <w:r>
        <w:rPr>
          <w:color w:val="231F20"/>
          <w:spacing w:val="-3"/>
          <w:w w:val="105"/>
          <w:vertAlign w:val="baseline"/>
        </w:rPr>
        <w:t>Thursday, </w:t>
      </w:r>
      <w:r>
        <w:rPr>
          <w:color w:val="231F20"/>
          <w:w w:val="105"/>
          <w:vertAlign w:val="baseline"/>
        </w:rPr>
        <w:t>February 8, 2024, </w:t>
      </w:r>
      <w:r>
        <w:rPr>
          <w:color w:val="231F20"/>
          <w:spacing w:val="-3"/>
          <w:w w:val="105"/>
          <w:vertAlign w:val="baseline"/>
        </w:rPr>
        <w:t>at </w:t>
      </w:r>
      <w:r>
        <w:rPr>
          <w:color w:val="231F20"/>
          <w:w w:val="105"/>
          <w:vertAlign w:val="baseline"/>
        </w:rPr>
        <w:t>5:00 </w:t>
      </w:r>
      <w:r>
        <w:rPr>
          <w:color w:val="231F20"/>
          <w:spacing w:val="-4"/>
          <w:w w:val="105"/>
          <w:vertAlign w:val="baseline"/>
        </w:rPr>
        <w:t>p.m. </w:t>
      </w:r>
      <w:r>
        <w:rPr>
          <w:color w:val="231F20"/>
          <w:w w:val="105"/>
          <w:vertAlign w:val="baseline"/>
        </w:rPr>
        <w:t>Israel </w:t>
      </w:r>
      <w:r>
        <w:rPr>
          <w:color w:val="231F20"/>
          <w:spacing w:val="-3"/>
          <w:w w:val="105"/>
          <w:vertAlign w:val="baseline"/>
        </w:rPr>
        <w:t>time.</w:t>
      </w:r>
    </w:p>
    <w:p>
      <w:pPr>
        <w:pStyle w:val="BodyText"/>
        <w:spacing w:line="244" w:lineRule="auto" w:before="156"/>
        <w:ind w:left="1090" w:right="1355" w:firstLine="399"/>
      </w:pPr>
      <w:r>
        <w:rPr>
          <w:color w:val="231F20"/>
          <w:w w:val="105"/>
        </w:rPr>
        <w:t>At the Meeting, holders of our American Depositary Shares, each representing one (1) ordinary share (the “</w:t>
      </w:r>
      <w:r>
        <w:rPr>
          <w:b/>
          <w:color w:val="231F20"/>
          <w:w w:val="105"/>
        </w:rPr>
        <w:t>ADSs</w:t>
      </w:r>
      <w:r>
        <w:rPr>
          <w:color w:val="231F20"/>
          <w:w w:val="105"/>
        </w:rPr>
        <w:t>”), and holders of our ordinary shares, nominal </w:t>
      </w:r>
      <w:r>
        <w:rPr>
          <w:color w:val="231F20"/>
          <w:spacing w:val="-3"/>
          <w:w w:val="105"/>
        </w:rPr>
        <w:t>value </w:t>
      </w:r>
      <w:r>
        <w:rPr>
          <w:color w:val="231F20"/>
          <w:w w:val="105"/>
        </w:rPr>
        <w:t>NIS 0.01 per share (the “</w:t>
      </w:r>
      <w:r>
        <w:rPr>
          <w:b/>
          <w:color w:val="231F20"/>
          <w:w w:val="105"/>
        </w:rPr>
        <w:t>ordinary shares</w:t>
      </w:r>
      <w:r>
        <w:rPr>
          <w:color w:val="231F20"/>
          <w:w w:val="105"/>
        </w:rPr>
        <w:t>”, and together with the ADSs, the “</w:t>
      </w:r>
      <w:r>
        <w:rPr>
          <w:b/>
          <w:color w:val="231F20"/>
          <w:w w:val="105"/>
        </w:rPr>
        <w:t>shares</w:t>
      </w:r>
      <w:r>
        <w:rPr>
          <w:color w:val="231F20"/>
          <w:w w:val="105"/>
        </w:rPr>
        <w:t>”), collectively referred to as our “</w:t>
      </w:r>
      <w:r>
        <w:rPr>
          <w:b/>
          <w:color w:val="231F20"/>
          <w:w w:val="105"/>
        </w:rPr>
        <w:t>shareholders</w:t>
      </w:r>
      <w:r>
        <w:rPr>
          <w:color w:val="231F20"/>
          <w:w w:val="105"/>
        </w:rPr>
        <w:t>,” will be asked to consider and vote on the matters listed in the enclosed Notice of </w:t>
      </w:r>
      <w:r>
        <w:rPr>
          <w:color w:val="231F20"/>
          <w:spacing w:val="-3"/>
          <w:w w:val="105"/>
        </w:rPr>
        <w:t>Annual </w:t>
      </w:r>
      <w:r>
        <w:rPr>
          <w:color w:val="231F20"/>
          <w:w w:val="105"/>
        </w:rPr>
        <w:t>General Meeting of Shareholders (the “</w:t>
      </w:r>
      <w:r>
        <w:rPr>
          <w:b/>
          <w:color w:val="231F20"/>
          <w:w w:val="105"/>
        </w:rPr>
        <w:t>Notice</w:t>
      </w:r>
      <w:r>
        <w:rPr>
          <w:color w:val="231F20"/>
          <w:w w:val="105"/>
        </w:rPr>
        <w:t>”). </w:t>
      </w:r>
      <w:r>
        <w:rPr>
          <w:color w:val="231F20"/>
          <w:spacing w:val="-6"/>
          <w:w w:val="105"/>
        </w:rPr>
        <w:t>SHL’s </w:t>
      </w:r>
      <w:r>
        <w:rPr>
          <w:color w:val="231F20"/>
          <w:w w:val="105"/>
        </w:rPr>
        <w:t>board of directors unanimously recommends that </w:t>
      </w:r>
      <w:r>
        <w:rPr>
          <w:color w:val="231F20"/>
          <w:spacing w:val="-3"/>
          <w:w w:val="105"/>
        </w:rPr>
        <w:t>you </w:t>
      </w:r>
      <w:r>
        <w:rPr>
          <w:color w:val="231F20"/>
          <w:w w:val="105"/>
        </w:rPr>
        <w:t>vote “FOR” such </w:t>
      </w:r>
      <w:r>
        <w:rPr>
          <w:color w:val="231F20"/>
          <w:spacing w:val="-3"/>
          <w:w w:val="105"/>
        </w:rPr>
        <w:t>proposals.</w:t>
      </w:r>
    </w:p>
    <w:p>
      <w:pPr>
        <w:pStyle w:val="Heading2"/>
        <w:spacing w:line="244" w:lineRule="auto" w:before="154"/>
        <w:ind w:right="1553" w:firstLine="399"/>
      </w:pPr>
      <w:r>
        <w:rPr>
          <w:color w:val="231F20"/>
        </w:rPr>
        <w:t>Whether</w:t>
      </w:r>
      <w:r>
        <w:rPr>
          <w:color w:val="231F20"/>
          <w:spacing w:val="-24"/>
        </w:rPr>
        <w:t> </w:t>
      </w:r>
      <w:r>
        <w:rPr>
          <w:color w:val="231F20"/>
        </w:rPr>
        <w:t>or</w:t>
      </w:r>
      <w:r>
        <w:rPr>
          <w:color w:val="231F20"/>
          <w:spacing w:val="-23"/>
        </w:rPr>
        <w:t> </w:t>
      </w:r>
      <w:r>
        <w:rPr>
          <w:color w:val="231F20"/>
        </w:rPr>
        <w:t>not</w:t>
      </w:r>
      <w:r>
        <w:rPr>
          <w:color w:val="231F20"/>
          <w:spacing w:val="-24"/>
        </w:rPr>
        <w:t> </w:t>
      </w:r>
      <w:r>
        <w:rPr>
          <w:color w:val="231F20"/>
          <w:spacing w:val="-3"/>
        </w:rPr>
        <w:t>you</w:t>
      </w:r>
      <w:r>
        <w:rPr>
          <w:color w:val="231F20"/>
          <w:spacing w:val="-23"/>
        </w:rPr>
        <w:t> </w:t>
      </w:r>
      <w:r>
        <w:rPr>
          <w:color w:val="231F20"/>
        </w:rPr>
        <w:t>plan</w:t>
      </w:r>
      <w:r>
        <w:rPr>
          <w:color w:val="231F20"/>
          <w:spacing w:val="-24"/>
        </w:rPr>
        <w:t> </w:t>
      </w:r>
      <w:r>
        <w:rPr>
          <w:color w:val="231F20"/>
        </w:rPr>
        <w:t>to</w:t>
      </w:r>
      <w:r>
        <w:rPr>
          <w:color w:val="231F20"/>
          <w:spacing w:val="-23"/>
        </w:rPr>
        <w:t> </w:t>
      </w:r>
      <w:r>
        <w:rPr>
          <w:color w:val="231F20"/>
        </w:rPr>
        <w:t>attend</w:t>
      </w:r>
      <w:r>
        <w:rPr>
          <w:color w:val="231F20"/>
          <w:spacing w:val="-24"/>
        </w:rPr>
        <w:t> </w:t>
      </w:r>
      <w:r>
        <w:rPr>
          <w:color w:val="231F20"/>
        </w:rPr>
        <w:t>the</w:t>
      </w:r>
      <w:r>
        <w:rPr>
          <w:color w:val="231F20"/>
          <w:spacing w:val="-23"/>
        </w:rPr>
        <w:t> </w:t>
      </w:r>
      <w:r>
        <w:rPr>
          <w:color w:val="231F20"/>
        </w:rPr>
        <w:t>Meeting,</w:t>
      </w:r>
      <w:r>
        <w:rPr>
          <w:color w:val="231F20"/>
          <w:spacing w:val="-24"/>
        </w:rPr>
        <w:t> </w:t>
      </w:r>
      <w:r>
        <w:rPr>
          <w:color w:val="231F20"/>
        </w:rPr>
        <w:t>it</w:t>
      </w:r>
      <w:r>
        <w:rPr>
          <w:color w:val="231F20"/>
          <w:spacing w:val="-23"/>
        </w:rPr>
        <w:t> </w:t>
      </w:r>
      <w:r>
        <w:rPr>
          <w:color w:val="231F20"/>
        </w:rPr>
        <w:t>is</w:t>
      </w:r>
      <w:r>
        <w:rPr>
          <w:color w:val="231F20"/>
          <w:spacing w:val="-24"/>
        </w:rPr>
        <w:t> </w:t>
      </w:r>
      <w:r>
        <w:rPr>
          <w:color w:val="231F20"/>
        </w:rPr>
        <w:t>important</w:t>
      </w:r>
      <w:r>
        <w:rPr>
          <w:color w:val="231F20"/>
          <w:spacing w:val="-23"/>
        </w:rPr>
        <w:t> </w:t>
      </w:r>
      <w:r>
        <w:rPr>
          <w:color w:val="231F20"/>
        </w:rPr>
        <w:t>that</w:t>
      </w:r>
      <w:r>
        <w:rPr>
          <w:color w:val="231F20"/>
          <w:spacing w:val="-23"/>
        </w:rPr>
        <w:t> </w:t>
      </w:r>
      <w:r>
        <w:rPr>
          <w:color w:val="231F20"/>
        </w:rPr>
        <w:t>your</w:t>
      </w:r>
      <w:r>
        <w:rPr>
          <w:color w:val="231F20"/>
          <w:spacing w:val="-24"/>
        </w:rPr>
        <w:t> </w:t>
      </w:r>
      <w:r>
        <w:rPr>
          <w:color w:val="231F20"/>
        </w:rPr>
        <w:t>shares</w:t>
      </w:r>
      <w:r>
        <w:rPr>
          <w:color w:val="231F20"/>
          <w:spacing w:val="-23"/>
        </w:rPr>
        <w:t> </w:t>
      </w:r>
      <w:r>
        <w:rPr>
          <w:color w:val="231F20"/>
        </w:rPr>
        <w:t>be</w:t>
      </w:r>
      <w:r>
        <w:rPr>
          <w:color w:val="231F20"/>
          <w:spacing w:val="-24"/>
        </w:rPr>
        <w:t> </w:t>
      </w:r>
      <w:r>
        <w:rPr>
          <w:color w:val="231F20"/>
        </w:rPr>
        <w:t>represented</w:t>
      </w:r>
      <w:r>
        <w:rPr>
          <w:color w:val="231F20"/>
          <w:spacing w:val="-23"/>
        </w:rPr>
        <w:t> </w:t>
      </w:r>
      <w:r>
        <w:rPr>
          <w:color w:val="231F20"/>
        </w:rPr>
        <w:t>and</w:t>
      </w:r>
      <w:r>
        <w:rPr>
          <w:color w:val="231F20"/>
          <w:spacing w:val="-24"/>
        </w:rPr>
        <w:t> </w:t>
      </w:r>
      <w:r>
        <w:rPr>
          <w:color w:val="231F20"/>
        </w:rPr>
        <w:t>voted at the Meeting, as</w:t>
      </w:r>
      <w:r>
        <w:rPr>
          <w:color w:val="231F20"/>
          <w:spacing w:val="-6"/>
        </w:rPr>
        <w:t> </w:t>
      </w:r>
      <w:r>
        <w:rPr>
          <w:color w:val="231F20"/>
        </w:rPr>
        <w:t>follows:</w:t>
      </w:r>
    </w:p>
    <w:p>
      <w:pPr>
        <w:pStyle w:val="BodyText"/>
        <w:spacing w:line="244" w:lineRule="auto" w:before="158"/>
        <w:ind w:left="1090" w:right="1386" w:firstLine="399"/>
      </w:pPr>
      <w:r>
        <w:rPr>
          <w:i/>
          <w:color w:val="231F20"/>
          <w:w w:val="105"/>
        </w:rPr>
        <w:t>Shareholders holding ADSs</w:t>
      </w:r>
      <w:r>
        <w:rPr>
          <w:color w:val="231F20"/>
          <w:w w:val="105"/>
        </w:rPr>
        <w:t>. Shareholders who hold ADSs (whether registered in your name or in “street name”) will receive a voting instruction form on how to vote from The Bank of New </w:t>
      </w:r>
      <w:r>
        <w:rPr>
          <w:color w:val="231F20"/>
          <w:spacing w:val="-8"/>
          <w:w w:val="105"/>
        </w:rPr>
        <w:t>York </w:t>
      </w:r>
      <w:r>
        <w:rPr>
          <w:color w:val="231F20"/>
          <w:w w:val="105"/>
        </w:rPr>
        <w:t>Mellon (which</w:t>
      </w:r>
      <w:r>
        <w:rPr>
          <w:color w:val="231F20"/>
          <w:spacing w:val="-9"/>
          <w:w w:val="105"/>
        </w:rPr>
        <w:t> </w:t>
      </w:r>
      <w:r>
        <w:rPr>
          <w:color w:val="231F20"/>
          <w:w w:val="105"/>
        </w:rPr>
        <w:t>acts</w:t>
      </w:r>
      <w:r>
        <w:rPr>
          <w:color w:val="231F20"/>
          <w:spacing w:val="-9"/>
          <w:w w:val="105"/>
        </w:rPr>
        <w:t> </w:t>
      </w:r>
      <w:r>
        <w:rPr>
          <w:color w:val="231F20"/>
          <w:w w:val="105"/>
        </w:rPr>
        <w:t>as</w:t>
      </w:r>
      <w:r>
        <w:rPr>
          <w:color w:val="231F20"/>
          <w:spacing w:val="-9"/>
          <w:w w:val="105"/>
        </w:rPr>
        <w:t> </w:t>
      </w:r>
      <w:r>
        <w:rPr>
          <w:color w:val="231F20"/>
          <w:w w:val="105"/>
        </w:rPr>
        <w:t>the</w:t>
      </w:r>
      <w:r>
        <w:rPr>
          <w:color w:val="231F20"/>
          <w:spacing w:val="-9"/>
          <w:w w:val="105"/>
        </w:rPr>
        <w:t> </w:t>
      </w:r>
      <w:r>
        <w:rPr>
          <w:color w:val="231F20"/>
          <w:w w:val="105"/>
        </w:rPr>
        <w:t>Depositary</w:t>
      </w:r>
      <w:r>
        <w:rPr>
          <w:color w:val="231F20"/>
          <w:spacing w:val="-9"/>
          <w:w w:val="105"/>
        </w:rPr>
        <w:t> </w:t>
      </w:r>
      <w:r>
        <w:rPr>
          <w:color w:val="231F20"/>
          <w:spacing w:val="-4"/>
          <w:w w:val="105"/>
        </w:rPr>
        <w:t>for</w:t>
      </w:r>
      <w:r>
        <w:rPr>
          <w:color w:val="231F20"/>
          <w:spacing w:val="-9"/>
          <w:w w:val="105"/>
        </w:rPr>
        <w:t> </w:t>
      </w:r>
      <w:r>
        <w:rPr>
          <w:color w:val="231F20"/>
          <w:w w:val="105"/>
        </w:rPr>
        <w:t>the</w:t>
      </w:r>
      <w:r>
        <w:rPr>
          <w:color w:val="231F20"/>
          <w:spacing w:val="-9"/>
          <w:w w:val="105"/>
        </w:rPr>
        <w:t> </w:t>
      </w:r>
      <w:r>
        <w:rPr>
          <w:color w:val="231F20"/>
          <w:w w:val="105"/>
        </w:rPr>
        <w:t>ADSs)</w:t>
      </w:r>
      <w:r>
        <w:rPr>
          <w:color w:val="231F20"/>
          <w:spacing w:val="-9"/>
          <w:w w:val="105"/>
        </w:rPr>
        <w:t> </w:t>
      </w:r>
      <w:r>
        <w:rPr>
          <w:color w:val="231F20"/>
          <w:w w:val="105"/>
        </w:rPr>
        <w:t>or</w:t>
      </w:r>
      <w:r>
        <w:rPr>
          <w:color w:val="231F20"/>
          <w:spacing w:val="-8"/>
          <w:w w:val="105"/>
        </w:rPr>
        <w:t> </w:t>
      </w:r>
      <w:r>
        <w:rPr>
          <w:color w:val="231F20"/>
          <w:spacing w:val="-3"/>
          <w:w w:val="105"/>
        </w:rPr>
        <w:t>from</w:t>
      </w:r>
      <w:r>
        <w:rPr>
          <w:color w:val="231F20"/>
          <w:spacing w:val="-9"/>
          <w:w w:val="105"/>
        </w:rPr>
        <w:t> </w:t>
      </w:r>
      <w:r>
        <w:rPr>
          <w:color w:val="231F20"/>
          <w:w w:val="105"/>
        </w:rPr>
        <w:t>their</w:t>
      </w:r>
      <w:r>
        <w:rPr>
          <w:color w:val="231F20"/>
          <w:spacing w:val="-9"/>
          <w:w w:val="105"/>
        </w:rPr>
        <w:t> </w:t>
      </w:r>
      <w:r>
        <w:rPr>
          <w:color w:val="231F20"/>
          <w:spacing w:val="-3"/>
          <w:w w:val="105"/>
        </w:rPr>
        <w:t>banks,</w:t>
      </w:r>
      <w:r>
        <w:rPr>
          <w:color w:val="231F20"/>
          <w:spacing w:val="-9"/>
          <w:w w:val="105"/>
        </w:rPr>
        <w:t> </w:t>
      </w:r>
      <w:r>
        <w:rPr>
          <w:color w:val="231F20"/>
          <w:spacing w:val="-3"/>
          <w:w w:val="105"/>
        </w:rPr>
        <w:t>brokers</w:t>
      </w:r>
      <w:r>
        <w:rPr>
          <w:color w:val="231F20"/>
          <w:spacing w:val="-9"/>
          <w:w w:val="105"/>
        </w:rPr>
        <w:t> </w:t>
      </w:r>
      <w:r>
        <w:rPr>
          <w:color w:val="231F20"/>
          <w:w w:val="105"/>
        </w:rPr>
        <w:t>or</w:t>
      </w:r>
      <w:r>
        <w:rPr>
          <w:color w:val="231F20"/>
          <w:spacing w:val="-9"/>
          <w:w w:val="105"/>
        </w:rPr>
        <w:t> </w:t>
      </w:r>
      <w:r>
        <w:rPr>
          <w:color w:val="231F20"/>
          <w:w w:val="105"/>
        </w:rPr>
        <w:t>other</w:t>
      </w:r>
      <w:r>
        <w:rPr>
          <w:color w:val="231F20"/>
          <w:spacing w:val="-9"/>
          <w:w w:val="105"/>
        </w:rPr>
        <w:t> </w:t>
      </w:r>
      <w:r>
        <w:rPr>
          <w:color w:val="231F20"/>
          <w:spacing w:val="-3"/>
          <w:w w:val="105"/>
        </w:rPr>
        <w:t>nominees.</w:t>
      </w:r>
      <w:r>
        <w:rPr>
          <w:color w:val="231F20"/>
          <w:spacing w:val="-9"/>
          <w:w w:val="105"/>
        </w:rPr>
        <w:t> </w:t>
      </w:r>
      <w:r>
        <w:rPr>
          <w:color w:val="231F20"/>
          <w:spacing w:val="-10"/>
          <w:w w:val="105"/>
        </w:rPr>
        <w:t>You</w:t>
      </w:r>
      <w:r>
        <w:rPr>
          <w:color w:val="231F20"/>
          <w:spacing w:val="-8"/>
          <w:w w:val="105"/>
        </w:rPr>
        <w:t> </w:t>
      </w:r>
      <w:r>
        <w:rPr>
          <w:color w:val="231F20"/>
          <w:w w:val="105"/>
        </w:rPr>
        <w:t>are</w:t>
      </w:r>
      <w:r>
        <w:rPr>
          <w:color w:val="231F20"/>
          <w:spacing w:val="-9"/>
          <w:w w:val="105"/>
        </w:rPr>
        <w:t> </w:t>
      </w:r>
      <w:r>
        <w:rPr>
          <w:color w:val="231F20"/>
          <w:w w:val="105"/>
        </w:rPr>
        <w:t>requested to promptly complete, date and sign the voting instruction form and return it in the manner specified</w:t>
      </w:r>
      <w:r>
        <w:rPr>
          <w:color w:val="231F20"/>
          <w:spacing w:val="27"/>
          <w:w w:val="105"/>
        </w:rPr>
        <w:t> </w:t>
      </w:r>
      <w:r>
        <w:rPr>
          <w:color w:val="231F20"/>
          <w:w w:val="105"/>
        </w:rPr>
        <w:t>on</w:t>
      </w:r>
    </w:p>
    <w:p>
      <w:pPr>
        <w:pStyle w:val="BodyText"/>
        <w:spacing w:line="244" w:lineRule="auto"/>
        <w:ind w:left="1090" w:right="1472"/>
      </w:pPr>
      <w:r>
        <w:rPr>
          <w:color w:val="231F20"/>
          <w:w w:val="105"/>
        </w:rPr>
        <w:t>the voting instruction form at your earliest convenience so that it will be received no later than the date and time indicated thereon.</w:t>
      </w:r>
    </w:p>
    <w:p>
      <w:pPr>
        <w:pStyle w:val="BodyText"/>
        <w:spacing w:line="244" w:lineRule="auto" w:before="161"/>
        <w:ind w:left="1090" w:right="1776" w:firstLine="399"/>
      </w:pPr>
      <w:r>
        <w:rPr>
          <w:i/>
          <w:color w:val="231F20"/>
          <w:w w:val="105"/>
        </w:rPr>
        <w:t>Shareholders holding ordinary shares. </w:t>
      </w:r>
      <w:r>
        <w:rPr>
          <w:color w:val="231F20"/>
          <w:spacing w:val="-11"/>
          <w:w w:val="105"/>
        </w:rPr>
        <w:t>To </w:t>
      </w:r>
      <w:r>
        <w:rPr>
          <w:color w:val="231F20"/>
          <w:w w:val="105"/>
        </w:rPr>
        <w:t>be </w:t>
      </w:r>
      <w:r>
        <w:rPr>
          <w:color w:val="231F20"/>
          <w:spacing w:val="-3"/>
          <w:w w:val="105"/>
        </w:rPr>
        <w:t>able </w:t>
      </w:r>
      <w:r>
        <w:rPr>
          <w:color w:val="231F20"/>
          <w:w w:val="105"/>
        </w:rPr>
        <w:t>to participate and vote in the Meeting, a holder of our ordinary shares must be registered with our share </w:t>
      </w:r>
      <w:r>
        <w:rPr>
          <w:color w:val="231F20"/>
          <w:spacing w:val="-3"/>
          <w:w w:val="105"/>
        </w:rPr>
        <w:t>register, </w:t>
      </w:r>
      <w:r>
        <w:rPr>
          <w:color w:val="231F20"/>
          <w:w w:val="105"/>
        </w:rPr>
        <w:t>Computershare Schweiz </w:t>
      </w:r>
      <w:r>
        <w:rPr>
          <w:color w:val="231F20"/>
          <w:spacing w:val="-6"/>
          <w:w w:val="105"/>
        </w:rPr>
        <w:t>AG </w:t>
      </w:r>
      <w:r>
        <w:rPr>
          <w:color w:val="231F20"/>
          <w:w w:val="105"/>
        </w:rPr>
        <w:t>(“</w:t>
      </w:r>
      <w:r>
        <w:rPr>
          <w:b/>
          <w:color w:val="231F20"/>
          <w:w w:val="105"/>
        </w:rPr>
        <w:t>Computershare</w:t>
      </w:r>
      <w:r>
        <w:rPr>
          <w:color w:val="231F20"/>
          <w:w w:val="105"/>
        </w:rPr>
        <w:t>”),</w:t>
      </w:r>
      <w:r>
        <w:rPr>
          <w:color w:val="231F20"/>
          <w:spacing w:val="-7"/>
          <w:w w:val="105"/>
        </w:rPr>
        <w:t> </w:t>
      </w:r>
      <w:r>
        <w:rPr>
          <w:color w:val="231F20"/>
          <w:w w:val="105"/>
        </w:rPr>
        <w:t>by</w:t>
      </w:r>
      <w:r>
        <w:rPr>
          <w:color w:val="231F20"/>
          <w:spacing w:val="-7"/>
          <w:w w:val="105"/>
        </w:rPr>
        <w:t> </w:t>
      </w:r>
      <w:r>
        <w:rPr>
          <w:color w:val="231F20"/>
          <w:w w:val="105"/>
        </w:rPr>
        <w:t>the</w:t>
      </w:r>
      <w:r>
        <w:rPr>
          <w:color w:val="231F20"/>
          <w:spacing w:val="-6"/>
          <w:w w:val="105"/>
        </w:rPr>
        <w:t> </w:t>
      </w:r>
      <w:r>
        <w:rPr>
          <w:color w:val="231F20"/>
          <w:spacing w:val="-3"/>
          <w:w w:val="105"/>
        </w:rPr>
        <w:t>Record</w:t>
      </w:r>
      <w:r>
        <w:rPr>
          <w:color w:val="231F20"/>
          <w:spacing w:val="-7"/>
          <w:w w:val="105"/>
        </w:rPr>
        <w:t> </w:t>
      </w:r>
      <w:r>
        <w:rPr>
          <w:color w:val="231F20"/>
          <w:spacing w:val="-4"/>
          <w:w w:val="105"/>
        </w:rPr>
        <w:t>Date.</w:t>
      </w:r>
      <w:r>
        <w:rPr>
          <w:color w:val="231F20"/>
          <w:spacing w:val="-7"/>
          <w:w w:val="105"/>
        </w:rPr>
        <w:t> </w:t>
      </w:r>
      <w:r>
        <w:rPr>
          <w:color w:val="231F20"/>
          <w:spacing w:val="-11"/>
          <w:w w:val="105"/>
        </w:rPr>
        <w:t>To</w:t>
      </w:r>
      <w:r>
        <w:rPr>
          <w:color w:val="231F20"/>
          <w:spacing w:val="-6"/>
          <w:w w:val="105"/>
        </w:rPr>
        <w:t> </w:t>
      </w:r>
      <w:r>
        <w:rPr>
          <w:color w:val="231F20"/>
          <w:w w:val="105"/>
        </w:rPr>
        <w:t>be</w:t>
      </w:r>
      <w:r>
        <w:rPr>
          <w:color w:val="231F20"/>
          <w:spacing w:val="-7"/>
          <w:w w:val="105"/>
        </w:rPr>
        <w:t> </w:t>
      </w:r>
      <w:r>
        <w:rPr>
          <w:color w:val="231F20"/>
          <w:w w:val="105"/>
        </w:rPr>
        <w:t>registered</w:t>
      </w:r>
      <w:r>
        <w:rPr>
          <w:color w:val="231F20"/>
          <w:spacing w:val="-6"/>
          <w:w w:val="105"/>
        </w:rPr>
        <w:t> </w:t>
      </w:r>
      <w:r>
        <w:rPr>
          <w:color w:val="231F20"/>
          <w:w w:val="105"/>
        </w:rPr>
        <w:t>with</w:t>
      </w:r>
      <w:r>
        <w:rPr>
          <w:color w:val="231F20"/>
          <w:spacing w:val="-7"/>
          <w:w w:val="105"/>
        </w:rPr>
        <w:t> </w:t>
      </w:r>
      <w:r>
        <w:rPr>
          <w:color w:val="231F20"/>
          <w:w w:val="105"/>
        </w:rPr>
        <w:t>Computershare,</w:t>
      </w:r>
      <w:r>
        <w:rPr>
          <w:color w:val="231F20"/>
          <w:spacing w:val="-7"/>
          <w:w w:val="105"/>
        </w:rPr>
        <w:t> </w:t>
      </w:r>
      <w:r>
        <w:rPr>
          <w:color w:val="231F20"/>
          <w:w w:val="105"/>
        </w:rPr>
        <w:t>such</w:t>
      </w:r>
      <w:r>
        <w:rPr>
          <w:color w:val="231F20"/>
          <w:spacing w:val="-6"/>
          <w:w w:val="105"/>
        </w:rPr>
        <w:t> </w:t>
      </w:r>
      <w:r>
        <w:rPr>
          <w:color w:val="231F20"/>
          <w:w w:val="105"/>
        </w:rPr>
        <w:t>shareholder</w:t>
      </w:r>
      <w:r>
        <w:rPr>
          <w:color w:val="231F20"/>
          <w:spacing w:val="-7"/>
          <w:w w:val="105"/>
        </w:rPr>
        <w:t> </w:t>
      </w:r>
      <w:r>
        <w:rPr>
          <w:color w:val="231F20"/>
          <w:w w:val="105"/>
        </w:rPr>
        <w:t>should</w:t>
      </w:r>
    </w:p>
    <w:p>
      <w:pPr>
        <w:pStyle w:val="BodyText"/>
        <w:spacing w:line="244" w:lineRule="auto" w:before="3"/>
        <w:ind w:left="1090" w:right="1522"/>
      </w:pPr>
      <w:r>
        <w:rPr>
          <w:color w:val="231F20"/>
          <w:w w:val="110"/>
        </w:rPr>
        <w:t>request</w:t>
      </w:r>
      <w:r>
        <w:rPr>
          <w:color w:val="231F20"/>
          <w:spacing w:val="-18"/>
          <w:w w:val="110"/>
        </w:rPr>
        <w:t> </w:t>
      </w:r>
      <w:r>
        <w:rPr>
          <w:color w:val="231F20"/>
          <w:w w:val="110"/>
        </w:rPr>
        <w:t>his</w:t>
      </w:r>
      <w:r>
        <w:rPr>
          <w:color w:val="231F20"/>
          <w:spacing w:val="-17"/>
          <w:w w:val="110"/>
        </w:rPr>
        <w:t> </w:t>
      </w:r>
      <w:r>
        <w:rPr>
          <w:color w:val="231F20"/>
          <w:w w:val="110"/>
        </w:rPr>
        <w:t>or</w:t>
      </w:r>
      <w:r>
        <w:rPr>
          <w:color w:val="231F20"/>
          <w:spacing w:val="-17"/>
          <w:w w:val="110"/>
        </w:rPr>
        <w:t> </w:t>
      </w:r>
      <w:r>
        <w:rPr>
          <w:color w:val="231F20"/>
          <w:w w:val="110"/>
        </w:rPr>
        <w:t>her</w:t>
      </w:r>
      <w:r>
        <w:rPr>
          <w:color w:val="231F20"/>
          <w:spacing w:val="-17"/>
          <w:w w:val="110"/>
        </w:rPr>
        <w:t> </w:t>
      </w:r>
      <w:r>
        <w:rPr>
          <w:color w:val="231F20"/>
          <w:w w:val="110"/>
        </w:rPr>
        <w:t>custody</w:t>
      </w:r>
      <w:r>
        <w:rPr>
          <w:color w:val="231F20"/>
          <w:spacing w:val="-17"/>
          <w:w w:val="110"/>
        </w:rPr>
        <w:t> </w:t>
      </w:r>
      <w:r>
        <w:rPr>
          <w:color w:val="231F20"/>
          <w:w w:val="110"/>
        </w:rPr>
        <w:t>bank</w:t>
      </w:r>
      <w:r>
        <w:rPr>
          <w:color w:val="231F20"/>
          <w:spacing w:val="-17"/>
          <w:w w:val="110"/>
        </w:rPr>
        <w:t> </w:t>
      </w:r>
      <w:r>
        <w:rPr>
          <w:color w:val="231F20"/>
          <w:w w:val="110"/>
        </w:rPr>
        <w:t>to</w:t>
      </w:r>
      <w:r>
        <w:rPr>
          <w:color w:val="231F20"/>
          <w:spacing w:val="-17"/>
          <w:w w:val="110"/>
        </w:rPr>
        <w:t> </w:t>
      </w:r>
      <w:r>
        <w:rPr>
          <w:color w:val="231F20"/>
          <w:w w:val="110"/>
        </w:rPr>
        <w:t>submit</w:t>
      </w:r>
      <w:r>
        <w:rPr>
          <w:color w:val="231F20"/>
          <w:spacing w:val="-17"/>
          <w:w w:val="110"/>
        </w:rPr>
        <w:t> </w:t>
      </w:r>
      <w:r>
        <w:rPr>
          <w:color w:val="231F20"/>
          <w:w w:val="110"/>
        </w:rPr>
        <w:t>a</w:t>
      </w:r>
      <w:r>
        <w:rPr>
          <w:color w:val="231F20"/>
          <w:spacing w:val="-17"/>
          <w:w w:val="110"/>
        </w:rPr>
        <w:t> </w:t>
      </w:r>
      <w:r>
        <w:rPr>
          <w:color w:val="231F20"/>
          <w:w w:val="110"/>
        </w:rPr>
        <w:t>registration</w:t>
      </w:r>
      <w:r>
        <w:rPr>
          <w:color w:val="231F20"/>
          <w:spacing w:val="-17"/>
          <w:w w:val="110"/>
        </w:rPr>
        <w:t> </w:t>
      </w:r>
      <w:r>
        <w:rPr>
          <w:color w:val="231F20"/>
          <w:w w:val="110"/>
        </w:rPr>
        <w:t>request</w:t>
      </w:r>
      <w:r>
        <w:rPr>
          <w:color w:val="231F20"/>
          <w:spacing w:val="-18"/>
          <w:w w:val="110"/>
        </w:rPr>
        <w:t> </w:t>
      </w:r>
      <w:r>
        <w:rPr>
          <w:color w:val="231F20"/>
          <w:w w:val="110"/>
        </w:rPr>
        <w:t>to</w:t>
      </w:r>
      <w:r>
        <w:rPr>
          <w:color w:val="231F20"/>
          <w:spacing w:val="-17"/>
          <w:w w:val="110"/>
        </w:rPr>
        <w:t> </w:t>
      </w:r>
      <w:r>
        <w:rPr>
          <w:color w:val="231F20"/>
          <w:w w:val="110"/>
        </w:rPr>
        <w:t>Computershare</w:t>
      </w:r>
      <w:r>
        <w:rPr>
          <w:color w:val="231F20"/>
          <w:spacing w:val="-17"/>
          <w:w w:val="110"/>
        </w:rPr>
        <w:t> </w:t>
      </w:r>
      <w:r>
        <w:rPr>
          <w:color w:val="231F20"/>
          <w:w w:val="110"/>
        </w:rPr>
        <w:t>through</w:t>
      </w:r>
      <w:r>
        <w:rPr>
          <w:color w:val="231F20"/>
          <w:spacing w:val="-17"/>
          <w:w w:val="110"/>
        </w:rPr>
        <w:t> </w:t>
      </w:r>
      <w:r>
        <w:rPr>
          <w:color w:val="231F20"/>
          <w:w w:val="110"/>
        </w:rPr>
        <w:t>a</w:t>
      </w:r>
      <w:r>
        <w:rPr>
          <w:color w:val="231F20"/>
          <w:spacing w:val="-17"/>
          <w:w w:val="110"/>
        </w:rPr>
        <w:t> </w:t>
      </w:r>
      <w:r>
        <w:rPr>
          <w:color w:val="231F20"/>
          <w:w w:val="110"/>
        </w:rPr>
        <w:t>SIX</w:t>
      </w:r>
      <w:r>
        <w:rPr>
          <w:color w:val="231F20"/>
          <w:spacing w:val="-17"/>
          <w:w w:val="110"/>
        </w:rPr>
        <w:t> </w:t>
      </w:r>
      <w:r>
        <w:rPr>
          <w:color w:val="231F20"/>
          <w:w w:val="110"/>
        </w:rPr>
        <w:t>SIS</w:t>
      </w:r>
      <w:r>
        <w:rPr>
          <w:color w:val="231F20"/>
          <w:spacing w:val="-17"/>
          <w:w w:val="110"/>
        </w:rPr>
        <w:t> </w:t>
      </w:r>
      <w:r>
        <w:rPr>
          <w:color w:val="231F20"/>
          <w:w w:val="110"/>
        </w:rPr>
        <w:t>Ltd. member institution. Once a shareholder is registered with Computershare, such shareholder can participate</w:t>
      </w:r>
      <w:r>
        <w:rPr>
          <w:color w:val="231F20"/>
          <w:spacing w:val="-19"/>
          <w:w w:val="110"/>
        </w:rPr>
        <w:t> </w:t>
      </w:r>
      <w:r>
        <w:rPr>
          <w:color w:val="231F20"/>
          <w:w w:val="110"/>
        </w:rPr>
        <w:t>and</w:t>
      </w:r>
      <w:r>
        <w:rPr>
          <w:color w:val="231F20"/>
          <w:spacing w:val="-19"/>
          <w:w w:val="110"/>
        </w:rPr>
        <w:t> </w:t>
      </w:r>
      <w:r>
        <w:rPr>
          <w:color w:val="231F20"/>
          <w:w w:val="110"/>
        </w:rPr>
        <w:t>vote</w:t>
      </w:r>
      <w:r>
        <w:rPr>
          <w:color w:val="231F20"/>
          <w:spacing w:val="-19"/>
          <w:w w:val="110"/>
        </w:rPr>
        <w:t> </w:t>
      </w:r>
      <w:r>
        <w:rPr>
          <w:color w:val="231F20"/>
          <w:w w:val="110"/>
        </w:rPr>
        <w:t>in</w:t>
      </w:r>
      <w:r>
        <w:rPr>
          <w:color w:val="231F20"/>
          <w:spacing w:val="-19"/>
          <w:w w:val="110"/>
        </w:rPr>
        <w:t> </w:t>
      </w:r>
      <w:r>
        <w:rPr>
          <w:color w:val="231F20"/>
          <w:w w:val="110"/>
        </w:rPr>
        <w:t>the</w:t>
      </w:r>
      <w:r>
        <w:rPr>
          <w:color w:val="231F20"/>
          <w:spacing w:val="-18"/>
          <w:w w:val="110"/>
        </w:rPr>
        <w:t> </w:t>
      </w:r>
      <w:r>
        <w:rPr>
          <w:color w:val="231F20"/>
          <w:w w:val="110"/>
        </w:rPr>
        <w:t>Meeting</w:t>
      </w:r>
      <w:r>
        <w:rPr>
          <w:color w:val="231F20"/>
          <w:spacing w:val="-19"/>
          <w:w w:val="110"/>
        </w:rPr>
        <w:t> </w:t>
      </w:r>
      <w:r>
        <w:rPr>
          <w:color w:val="231F20"/>
          <w:w w:val="110"/>
        </w:rPr>
        <w:t>by</w:t>
      </w:r>
      <w:r>
        <w:rPr>
          <w:color w:val="231F20"/>
          <w:spacing w:val="-19"/>
          <w:w w:val="110"/>
        </w:rPr>
        <w:t> </w:t>
      </w:r>
      <w:r>
        <w:rPr>
          <w:color w:val="231F20"/>
          <w:w w:val="110"/>
        </w:rPr>
        <w:t>attending</w:t>
      </w:r>
      <w:r>
        <w:rPr>
          <w:color w:val="231F20"/>
          <w:spacing w:val="-19"/>
          <w:w w:val="110"/>
        </w:rPr>
        <w:t> </w:t>
      </w:r>
      <w:r>
        <w:rPr>
          <w:color w:val="231F20"/>
          <w:w w:val="110"/>
        </w:rPr>
        <w:t>the</w:t>
      </w:r>
      <w:r>
        <w:rPr>
          <w:color w:val="231F20"/>
          <w:spacing w:val="-18"/>
          <w:w w:val="110"/>
        </w:rPr>
        <w:t> </w:t>
      </w:r>
      <w:r>
        <w:rPr>
          <w:color w:val="231F20"/>
          <w:w w:val="110"/>
        </w:rPr>
        <w:t>meeting</w:t>
      </w:r>
      <w:r>
        <w:rPr>
          <w:color w:val="231F20"/>
          <w:spacing w:val="-19"/>
          <w:w w:val="110"/>
        </w:rPr>
        <w:t> </w:t>
      </w:r>
      <w:r>
        <w:rPr>
          <w:color w:val="231F20"/>
          <w:w w:val="110"/>
        </w:rPr>
        <w:t>in</w:t>
      </w:r>
      <w:r>
        <w:rPr>
          <w:color w:val="231F20"/>
          <w:spacing w:val="-19"/>
          <w:w w:val="110"/>
        </w:rPr>
        <w:t> </w:t>
      </w:r>
      <w:r>
        <w:rPr>
          <w:color w:val="231F20"/>
          <w:w w:val="110"/>
        </w:rPr>
        <w:t>person</w:t>
      </w:r>
      <w:r>
        <w:rPr>
          <w:color w:val="231F20"/>
          <w:spacing w:val="-19"/>
          <w:w w:val="110"/>
        </w:rPr>
        <w:t> </w:t>
      </w:r>
      <w:r>
        <w:rPr>
          <w:color w:val="231F20"/>
          <w:w w:val="110"/>
        </w:rPr>
        <w:t>or</w:t>
      </w:r>
      <w:r>
        <w:rPr>
          <w:color w:val="231F20"/>
          <w:spacing w:val="-18"/>
          <w:w w:val="110"/>
        </w:rPr>
        <w:t> </w:t>
      </w:r>
      <w:r>
        <w:rPr>
          <w:color w:val="231F20"/>
          <w:w w:val="110"/>
        </w:rPr>
        <w:t>by</w:t>
      </w:r>
      <w:r>
        <w:rPr>
          <w:color w:val="231F20"/>
          <w:spacing w:val="-19"/>
          <w:w w:val="110"/>
        </w:rPr>
        <w:t> </w:t>
      </w:r>
      <w:r>
        <w:rPr>
          <w:color w:val="231F20"/>
          <w:w w:val="110"/>
        </w:rPr>
        <w:t>completing</w:t>
      </w:r>
      <w:r>
        <w:rPr>
          <w:color w:val="231F20"/>
          <w:spacing w:val="-19"/>
          <w:w w:val="110"/>
        </w:rPr>
        <w:t> </w:t>
      </w:r>
      <w:r>
        <w:rPr>
          <w:color w:val="231F20"/>
          <w:w w:val="110"/>
        </w:rPr>
        <w:t>and</w:t>
      </w:r>
      <w:r>
        <w:rPr>
          <w:color w:val="231F20"/>
          <w:spacing w:val="-19"/>
          <w:w w:val="110"/>
        </w:rPr>
        <w:t> </w:t>
      </w:r>
      <w:r>
        <w:rPr>
          <w:color w:val="231F20"/>
          <w:w w:val="110"/>
        </w:rPr>
        <w:t>returning</w:t>
      </w:r>
      <w:r>
        <w:rPr>
          <w:color w:val="231F20"/>
          <w:spacing w:val="-19"/>
          <w:w w:val="110"/>
        </w:rPr>
        <w:t> </w:t>
      </w:r>
      <w:r>
        <w:rPr>
          <w:color w:val="231F20"/>
          <w:w w:val="110"/>
        </w:rPr>
        <w:t>to us</w:t>
      </w:r>
      <w:r>
        <w:rPr>
          <w:color w:val="231F20"/>
          <w:spacing w:val="-10"/>
          <w:w w:val="110"/>
        </w:rPr>
        <w:t> </w:t>
      </w:r>
      <w:r>
        <w:rPr>
          <w:color w:val="231F20"/>
          <w:w w:val="110"/>
        </w:rPr>
        <w:t>a</w:t>
      </w:r>
      <w:r>
        <w:rPr>
          <w:color w:val="231F20"/>
          <w:spacing w:val="-10"/>
          <w:w w:val="110"/>
        </w:rPr>
        <w:t> </w:t>
      </w:r>
      <w:r>
        <w:rPr>
          <w:color w:val="231F20"/>
          <w:spacing w:val="-3"/>
          <w:w w:val="110"/>
        </w:rPr>
        <w:t>proxy</w:t>
      </w:r>
      <w:r>
        <w:rPr>
          <w:color w:val="231F20"/>
          <w:spacing w:val="-10"/>
          <w:w w:val="110"/>
        </w:rPr>
        <w:t> </w:t>
      </w:r>
      <w:r>
        <w:rPr>
          <w:color w:val="231F20"/>
          <w:w w:val="110"/>
        </w:rPr>
        <w:t>or</w:t>
      </w:r>
      <w:r>
        <w:rPr>
          <w:color w:val="231F20"/>
          <w:spacing w:val="-9"/>
          <w:w w:val="110"/>
        </w:rPr>
        <w:t> </w:t>
      </w:r>
      <w:r>
        <w:rPr>
          <w:color w:val="231F20"/>
          <w:w w:val="110"/>
        </w:rPr>
        <w:t>the</w:t>
      </w:r>
      <w:r>
        <w:rPr>
          <w:color w:val="231F20"/>
          <w:spacing w:val="-10"/>
          <w:w w:val="110"/>
        </w:rPr>
        <w:t> </w:t>
      </w:r>
      <w:r>
        <w:rPr>
          <w:color w:val="231F20"/>
          <w:w w:val="110"/>
        </w:rPr>
        <w:t>form</w:t>
      </w:r>
      <w:r>
        <w:rPr>
          <w:color w:val="231F20"/>
          <w:spacing w:val="-10"/>
          <w:w w:val="110"/>
        </w:rPr>
        <w:t> </w:t>
      </w:r>
      <w:r>
        <w:rPr>
          <w:color w:val="231F20"/>
          <w:w w:val="110"/>
        </w:rPr>
        <w:t>of</w:t>
      </w:r>
      <w:r>
        <w:rPr>
          <w:color w:val="231F20"/>
          <w:spacing w:val="8"/>
          <w:w w:val="110"/>
        </w:rPr>
        <w:t> </w:t>
      </w:r>
      <w:r>
        <w:rPr>
          <w:color w:val="231F20"/>
          <w:w w:val="110"/>
        </w:rPr>
        <w:t>voting</w:t>
      </w:r>
      <w:r>
        <w:rPr>
          <w:color w:val="231F20"/>
          <w:spacing w:val="-9"/>
          <w:w w:val="110"/>
        </w:rPr>
        <w:t> </w:t>
      </w:r>
      <w:r>
        <w:rPr>
          <w:color w:val="231F20"/>
          <w:w w:val="110"/>
        </w:rPr>
        <w:t>ballot</w:t>
      </w:r>
      <w:r>
        <w:rPr>
          <w:color w:val="231F20"/>
          <w:spacing w:val="-10"/>
          <w:w w:val="110"/>
        </w:rPr>
        <w:t> </w:t>
      </w:r>
      <w:r>
        <w:rPr>
          <w:color w:val="231F20"/>
          <w:w w:val="110"/>
        </w:rPr>
        <w:t>(the</w:t>
      </w:r>
      <w:r>
        <w:rPr>
          <w:color w:val="231F20"/>
          <w:spacing w:val="-10"/>
          <w:w w:val="110"/>
        </w:rPr>
        <w:t> </w:t>
      </w:r>
      <w:r>
        <w:rPr>
          <w:color w:val="231F20"/>
          <w:w w:val="110"/>
        </w:rPr>
        <w:t>“</w:t>
      </w:r>
      <w:r>
        <w:rPr>
          <w:b/>
          <w:color w:val="231F20"/>
          <w:w w:val="110"/>
        </w:rPr>
        <w:t>Ballot</w:t>
      </w:r>
      <w:r>
        <w:rPr>
          <w:color w:val="231F20"/>
          <w:w w:val="110"/>
        </w:rPr>
        <w:t>”)</w:t>
      </w:r>
      <w:r>
        <w:rPr>
          <w:color w:val="231F20"/>
          <w:spacing w:val="-10"/>
          <w:w w:val="110"/>
        </w:rPr>
        <w:t> </w:t>
      </w:r>
      <w:r>
        <w:rPr>
          <w:color w:val="231F20"/>
          <w:spacing w:val="-4"/>
          <w:w w:val="110"/>
        </w:rPr>
        <w:t>available</w:t>
      </w:r>
      <w:r>
        <w:rPr>
          <w:color w:val="231F20"/>
          <w:spacing w:val="-9"/>
          <w:w w:val="110"/>
        </w:rPr>
        <w:t> </w:t>
      </w:r>
      <w:r>
        <w:rPr>
          <w:color w:val="231F20"/>
          <w:w w:val="110"/>
        </w:rPr>
        <w:t>on</w:t>
      </w:r>
      <w:r>
        <w:rPr>
          <w:color w:val="231F20"/>
          <w:spacing w:val="-10"/>
          <w:w w:val="110"/>
        </w:rPr>
        <w:t> </w:t>
      </w:r>
      <w:r>
        <w:rPr>
          <w:color w:val="231F20"/>
          <w:w w:val="110"/>
        </w:rPr>
        <w:t>our</w:t>
      </w:r>
      <w:r>
        <w:rPr>
          <w:color w:val="231F20"/>
          <w:spacing w:val="-10"/>
          <w:w w:val="110"/>
        </w:rPr>
        <w:t> </w:t>
      </w:r>
      <w:r>
        <w:rPr>
          <w:color w:val="231F20"/>
          <w:w w:val="110"/>
        </w:rPr>
        <w:t>website</w:t>
      </w:r>
      <w:r>
        <w:rPr>
          <w:color w:val="231F20"/>
          <w:spacing w:val="-9"/>
          <w:w w:val="110"/>
        </w:rPr>
        <w:t> </w:t>
      </w:r>
      <w:r>
        <w:rPr>
          <w:color w:val="231F20"/>
          <w:spacing w:val="-3"/>
          <w:w w:val="110"/>
        </w:rPr>
        <w:t>at</w:t>
      </w:r>
    </w:p>
    <w:p>
      <w:pPr>
        <w:pStyle w:val="BodyText"/>
        <w:spacing w:line="244" w:lineRule="auto" w:before="3"/>
        <w:ind w:left="1090" w:right="1322"/>
      </w:pPr>
      <w:hyperlink r:id="rId8">
        <w:r>
          <w:rPr>
            <w:color w:val="231F20"/>
            <w:w w:val="105"/>
          </w:rPr>
          <w:t>https://ww</w:t>
        </w:r>
      </w:hyperlink>
      <w:r>
        <w:rPr>
          <w:color w:val="231F20"/>
          <w:w w:val="105"/>
        </w:rPr>
        <w:t>w.shl-te</w:t>
      </w:r>
      <w:hyperlink r:id="rId8">
        <w:r>
          <w:rPr>
            <w:color w:val="231F20"/>
            <w:w w:val="105"/>
          </w:rPr>
          <w:t>lemedicine.com/general-meeting </w:t>
        </w:r>
      </w:hyperlink>
      <w:r>
        <w:rPr>
          <w:color w:val="231F20"/>
          <w:w w:val="105"/>
        </w:rPr>
        <w:t>and on the website of the U.S. Securities and Exchange Commission (the “</w:t>
      </w:r>
      <w:r>
        <w:rPr>
          <w:b/>
          <w:color w:val="231F20"/>
          <w:w w:val="105"/>
        </w:rPr>
        <w:t>SEC</w:t>
      </w:r>
      <w:r>
        <w:rPr>
          <w:color w:val="231F20"/>
          <w:w w:val="105"/>
        </w:rPr>
        <w:t>”) at </w:t>
      </w:r>
      <w:hyperlink r:id="rId9">
        <w:r>
          <w:rPr>
            <w:color w:val="231F20"/>
            <w:w w:val="105"/>
          </w:rPr>
          <w:t>www.sec.gov. </w:t>
        </w:r>
      </w:hyperlink>
      <w:r>
        <w:rPr>
          <w:color w:val="231F20"/>
          <w:w w:val="105"/>
        </w:rPr>
        <w:t>Kindly note that no hard copies will be mailed to holders of our ordinary shares, however if such a shareholder requests that we mail it hard copies of the materials we</w:t>
      </w:r>
    </w:p>
    <w:p>
      <w:pPr>
        <w:pStyle w:val="BodyText"/>
        <w:spacing w:line="244" w:lineRule="auto" w:before="3"/>
        <w:ind w:left="1090" w:right="1387"/>
      </w:pPr>
      <w:r>
        <w:rPr>
          <w:color w:val="231F20"/>
          <w:w w:val="105"/>
        </w:rPr>
        <w:t>will do so </w:t>
      </w:r>
      <w:r>
        <w:rPr>
          <w:color w:val="231F20"/>
          <w:spacing w:val="-3"/>
          <w:w w:val="105"/>
        </w:rPr>
        <w:t>at </w:t>
      </w:r>
      <w:r>
        <w:rPr>
          <w:color w:val="231F20"/>
          <w:w w:val="105"/>
        </w:rPr>
        <w:t>no </w:t>
      </w:r>
      <w:r>
        <w:rPr>
          <w:color w:val="231F20"/>
          <w:spacing w:val="-3"/>
          <w:w w:val="105"/>
        </w:rPr>
        <w:t>charge. </w:t>
      </w:r>
      <w:r>
        <w:rPr>
          <w:color w:val="231F20"/>
          <w:w w:val="105"/>
        </w:rPr>
        <w:t>Each </w:t>
      </w:r>
      <w:r>
        <w:rPr>
          <w:color w:val="231F20"/>
          <w:spacing w:val="-3"/>
          <w:w w:val="105"/>
        </w:rPr>
        <w:t>proxy </w:t>
      </w:r>
      <w:r>
        <w:rPr>
          <w:color w:val="231F20"/>
          <w:w w:val="105"/>
        </w:rPr>
        <w:t>or Ballot must be delivered to our Chief Financial Officer </w:t>
      </w:r>
      <w:r>
        <w:rPr>
          <w:color w:val="231F20"/>
          <w:spacing w:val="-3"/>
          <w:w w:val="105"/>
        </w:rPr>
        <w:t>at </w:t>
      </w:r>
      <w:r>
        <w:rPr>
          <w:color w:val="231F20"/>
          <w:w w:val="105"/>
        </w:rPr>
        <w:t>Ashdar Building — 2</w:t>
      </w:r>
      <w:r>
        <w:rPr>
          <w:color w:val="231F20"/>
          <w:w w:val="105"/>
          <w:vertAlign w:val="superscript"/>
        </w:rPr>
        <w:t>nd</w:t>
      </w:r>
      <w:r>
        <w:rPr>
          <w:color w:val="231F20"/>
          <w:w w:val="105"/>
          <w:vertAlign w:val="baseline"/>
        </w:rPr>
        <w:t> </w:t>
      </w:r>
      <w:r>
        <w:rPr>
          <w:color w:val="231F20"/>
          <w:spacing w:val="-4"/>
          <w:w w:val="105"/>
          <w:vertAlign w:val="baseline"/>
        </w:rPr>
        <w:t>Floor, </w:t>
      </w:r>
      <w:r>
        <w:rPr>
          <w:color w:val="231F20"/>
          <w:w w:val="105"/>
          <w:vertAlign w:val="baseline"/>
        </w:rPr>
        <w:t>90 </w:t>
      </w:r>
      <w:r>
        <w:rPr>
          <w:color w:val="231F20"/>
          <w:spacing w:val="-4"/>
          <w:w w:val="105"/>
          <w:vertAlign w:val="baseline"/>
        </w:rPr>
        <w:t>Yigal </w:t>
      </w:r>
      <w:r>
        <w:rPr>
          <w:color w:val="231F20"/>
          <w:w w:val="105"/>
          <w:vertAlign w:val="baseline"/>
        </w:rPr>
        <w:t>Alon Street, </w:t>
      </w:r>
      <w:r>
        <w:rPr>
          <w:color w:val="231F20"/>
          <w:spacing w:val="-6"/>
          <w:w w:val="105"/>
          <w:vertAlign w:val="baseline"/>
        </w:rPr>
        <w:t>Tel </w:t>
      </w:r>
      <w:r>
        <w:rPr>
          <w:color w:val="231F20"/>
          <w:spacing w:val="-9"/>
          <w:w w:val="105"/>
          <w:vertAlign w:val="baseline"/>
        </w:rPr>
        <w:t>Aviv, </w:t>
      </w:r>
      <w:r>
        <w:rPr>
          <w:color w:val="231F20"/>
          <w:w w:val="105"/>
          <w:vertAlign w:val="baseline"/>
        </w:rPr>
        <w:t>Israel, or by email to </w:t>
      </w:r>
      <w:hyperlink r:id="rId10">
        <w:r>
          <w:rPr>
            <w:color w:val="231F20"/>
            <w:w w:val="105"/>
            <w:vertAlign w:val="baseline"/>
          </w:rPr>
          <w:t>amirh@shahal.co.il, </w:t>
        </w:r>
      </w:hyperlink>
      <w:r>
        <w:rPr>
          <w:color w:val="231F20"/>
          <w:w w:val="105"/>
          <w:vertAlign w:val="baseline"/>
        </w:rPr>
        <w:t>and received no later than forty-eight (48) hours and four (4) hours, </w:t>
      </w:r>
      <w:r>
        <w:rPr>
          <w:color w:val="231F20"/>
          <w:spacing w:val="-3"/>
          <w:w w:val="105"/>
          <w:vertAlign w:val="baseline"/>
        </w:rPr>
        <w:t>respectively, </w:t>
      </w:r>
      <w:r>
        <w:rPr>
          <w:color w:val="231F20"/>
          <w:w w:val="105"/>
          <w:vertAlign w:val="baseline"/>
        </w:rPr>
        <w:t>prior to the scheduled date and time of the</w:t>
      </w:r>
      <w:r>
        <w:rPr>
          <w:color w:val="231F20"/>
          <w:spacing w:val="-9"/>
          <w:w w:val="105"/>
          <w:vertAlign w:val="baseline"/>
        </w:rPr>
        <w:t> </w:t>
      </w:r>
      <w:r>
        <w:rPr>
          <w:color w:val="231F20"/>
          <w:w w:val="105"/>
          <w:vertAlign w:val="baseline"/>
        </w:rPr>
        <w:t>Meeting.</w:t>
      </w:r>
      <w:r>
        <w:rPr>
          <w:color w:val="231F20"/>
          <w:spacing w:val="-8"/>
          <w:w w:val="105"/>
          <w:vertAlign w:val="baseline"/>
        </w:rPr>
        <w:t> </w:t>
      </w:r>
      <w:r>
        <w:rPr>
          <w:color w:val="231F20"/>
          <w:w w:val="105"/>
          <w:vertAlign w:val="baseline"/>
        </w:rPr>
        <w:t>The</w:t>
      </w:r>
      <w:r>
        <w:rPr>
          <w:color w:val="231F20"/>
          <w:spacing w:val="-8"/>
          <w:w w:val="105"/>
          <w:vertAlign w:val="baseline"/>
        </w:rPr>
        <w:t> </w:t>
      </w:r>
      <w:r>
        <w:rPr>
          <w:color w:val="231F20"/>
          <w:spacing w:val="-6"/>
          <w:w w:val="105"/>
          <w:vertAlign w:val="baseline"/>
        </w:rPr>
        <w:t>proxy,</w:t>
      </w:r>
      <w:r>
        <w:rPr>
          <w:color w:val="231F20"/>
          <w:spacing w:val="-9"/>
          <w:w w:val="105"/>
          <w:vertAlign w:val="baseline"/>
        </w:rPr>
        <w:t> </w:t>
      </w:r>
      <w:r>
        <w:rPr>
          <w:color w:val="231F20"/>
          <w:w w:val="105"/>
          <w:vertAlign w:val="baseline"/>
        </w:rPr>
        <w:t>if</w:t>
      </w:r>
      <w:r>
        <w:rPr>
          <w:color w:val="231F20"/>
          <w:spacing w:val="12"/>
          <w:w w:val="105"/>
          <w:vertAlign w:val="baseline"/>
        </w:rPr>
        <w:t> </w:t>
      </w:r>
      <w:r>
        <w:rPr>
          <w:color w:val="231F20"/>
          <w:w w:val="105"/>
          <w:vertAlign w:val="baseline"/>
        </w:rPr>
        <w:t>executed</w:t>
      </w:r>
      <w:r>
        <w:rPr>
          <w:color w:val="231F20"/>
          <w:spacing w:val="-8"/>
          <w:w w:val="105"/>
          <w:vertAlign w:val="baseline"/>
        </w:rPr>
        <w:t> </w:t>
      </w:r>
      <w:r>
        <w:rPr>
          <w:color w:val="231F20"/>
          <w:w w:val="105"/>
          <w:vertAlign w:val="baseline"/>
        </w:rPr>
        <w:t>and</w:t>
      </w:r>
      <w:r>
        <w:rPr>
          <w:color w:val="231F20"/>
          <w:spacing w:val="-8"/>
          <w:w w:val="105"/>
          <w:vertAlign w:val="baseline"/>
        </w:rPr>
        <w:t> </w:t>
      </w:r>
      <w:r>
        <w:rPr>
          <w:color w:val="231F20"/>
          <w:w w:val="105"/>
          <w:vertAlign w:val="baseline"/>
        </w:rPr>
        <w:t>sent,</w:t>
      </w:r>
      <w:r>
        <w:rPr>
          <w:color w:val="231F20"/>
          <w:spacing w:val="-9"/>
          <w:w w:val="105"/>
          <w:vertAlign w:val="baseline"/>
        </w:rPr>
        <w:t> </w:t>
      </w:r>
      <w:r>
        <w:rPr>
          <w:color w:val="231F20"/>
          <w:w w:val="105"/>
          <w:vertAlign w:val="baseline"/>
        </w:rPr>
        <w:t>should</w:t>
      </w:r>
      <w:r>
        <w:rPr>
          <w:color w:val="231F20"/>
          <w:spacing w:val="-8"/>
          <w:w w:val="105"/>
          <w:vertAlign w:val="baseline"/>
        </w:rPr>
        <w:t> </w:t>
      </w:r>
      <w:r>
        <w:rPr>
          <w:color w:val="231F20"/>
          <w:w w:val="105"/>
          <w:vertAlign w:val="baseline"/>
        </w:rPr>
        <w:t>be</w:t>
      </w:r>
      <w:r>
        <w:rPr>
          <w:color w:val="231F20"/>
          <w:spacing w:val="-8"/>
          <w:w w:val="105"/>
          <w:vertAlign w:val="baseline"/>
        </w:rPr>
        <w:t> </w:t>
      </w:r>
      <w:r>
        <w:rPr>
          <w:color w:val="231F20"/>
          <w:w w:val="105"/>
          <w:vertAlign w:val="baseline"/>
        </w:rPr>
        <w:t>in</w:t>
      </w:r>
      <w:r>
        <w:rPr>
          <w:color w:val="231F20"/>
          <w:spacing w:val="-9"/>
          <w:w w:val="105"/>
          <w:vertAlign w:val="baseline"/>
        </w:rPr>
        <w:t> </w:t>
      </w:r>
      <w:r>
        <w:rPr>
          <w:color w:val="231F20"/>
          <w:w w:val="105"/>
          <w:vertAlign w:val="baseline"/>
        </w:rPr>
        <w:t>the</w:t>
      </w:r>
      <w:r>
        <w:rPr>
          <w:color w:val="231F20"/>
          <w:spacing w:val="-8"/>
          <w:w w:val="105"/>
          <w:vertAlign w:val="baseline"/>
        </w:rPr>
        <w:t> </w:t>
      </w:r>
      <w:r>
        <w:rPr>
          <w:color w:val="231F20"/>
          <w:w w:val="105"/>
          <w:vertAlign w:val="baseline"/>
        </w:rPr>
        <w:t>name</w:t>
      </w:r>
      <w:r>
        <w:rPr>
          <w:color w:val="231F20"/>
          <w:spacing w:val="-8"/>
          <w:w w:val="105"/>
          <w:vertAlign w:val="baseline"/>
        </w:rPr>
        <w:t> </w:t>
      </w:r>
      <w:r>
        <w:rPr>
          <w:color w:val="231F20"/>
          <w:w w:val="105"/>
          <w:vertAlign w:val="baseline"/>
        </w:rPr>
        <w:t>of</w:t>
      </w:r>
      <w:r>
        <w:rPr>
          <w:color w:val="231F20"/>
          <w:spacing w:val="12"/>
          <w:w w:val="105"/>
          <w:vertAlign w:val="baseline"/>
        </w:rPr>
        <w:t> </w:t>
      </w:r>
      <w:r>
        <w:rPr>
          <w:color w:val="231F20"/>
          <w:w w:val="105"/>
          <w:vertAlign w:val="baseline"/>
        </w:rPr>
        <w:t>a</w:t>
      </w:r>
      <w:r>
        <w:rPr>
          <w:color w:val="231F20"/>
          <w:spacing w:val="-9"/>
          <w:w w:val="105"/>
          <w:vertAlign w:val="baseline"/>
        </w:rPr>
        <w:t> </w:t>
      </w:r>
      <w:r>
        <w:rPr>
          <w:color w:val="231F20"/>
          <w:w w:val="105"/>
          <w:vertAlign w:val="baseline"/>
        </w:rPr>
        <w:t>person</w:t>
      </w:r>
      <w:r>
        <w:rPr>
          <w:color w:val="231F20"/>
          <w:spacing w:val="-8"/>
          <w:w w:val="105"/>
          <w:vertAlign w:val="baseline"/>
        </w:rPr>
        <w:t> </w:t>
      </w:r>
      <w:r>
        <w:rPr>
          <w:color w:val="231F20"/>
          <w:w w:val="105"/>
          <w:vertAlign w:val="baseline"/>
        </w:rPr>
        <w:t>who</w:t>
      </w:r>
      <w:r>
        <w:rPr>
          <w:color w:val="231F20"/>
          <w:spacing w:val="-8"/>
          <w:w w:val="105"/>
          <w:vertAlign w:val="baseline"/>
        </w:rPr>
        <w:t> </w:t>
      </w:r>
      <w:r>
        <w:rPr>
          <w:color w:val="231F20"/>
          <w:w w:val="105"/>
          <w:vertAlign w:val="baseline"/>
        </w:rPr>
        <w:t>is</w:t>
      </w:r>
      <w:r>
        <w:rPr>
          <w:color w:val="231F20"/>
          <w:spacing w:val="-9"/>
          <w:w w:val="105"/>
          <w:vertAlign w:val="baseline"/>
        </w:rPr>
        <w:t> </w:t>
      </w:r>
      <w:r>
        <w:rPr>
          <w:color w:val="231F20"/>
          <w:w w:val="105"/>
          <w:vertAlign w:val="baseline"/>
        </w:rPr>
        <w:t>attending</w:t>
      </w:r>
      <w:r>
        <w:rPr>
          <w:color w:val="231F20"/>
          <w:spacing w:val="-8"/>
          <w:w w:val="105"/>
          <w:vertAlign w:val="baseline"/>
        </w:rPr>
        <w:t> </w:t>
      </w:r>
      <w:r>
        <w:rPr>
          <w:color w:val="231F20"/>
          <w:w w:val="105"/>
          <w:vertAlign w:val="baseline"/>
        </w:rPr>
        <w:t>the</w:t>
      </w:r>
      <w:r>
        <w:rPr>
          <w:color w:val="231F20"/>
          <w:spacing w:val="-8"/>
          <w:w w:val="105"/>
          <w:vertAlign w:val="baseline"/>
        </w:rPr>
        <w:t> </w:t>
      </w:r>
      <w:r>
        <w:rPr>
          <w:color w:val="231F20"/>
          <w:w w:val="105"/>
          <w:vertAlign w:val="baseline"/>
        </w:rPr>
        <w:t>Meeting. The shareholder must </w:t>
      </w:r>
      <w:r>
        <w:rPr>
          <w:color w:val="231F20"/>
          <w:spacing w:val="-3"/>
          <w:w w:val="105"/>
          <w:vertAlign w:val="baseline"/>
        </w:rPr>
        <w:t>also </w:t>
      </w:r>
      <w:r>
        <w:rPr>
          <w:color w:val="231F20"/>
          <w:w w:val="105"/>
          <w:vertAlign w:val="baseline"/>
        </w:rPr>
        <w:t>enclose a written confirmation from Computershare Schweiz </w:t>
      </w:r>
      <w:r>
        <w:rPr>
          <w:color w:val="231F20"/>
          <w:spacing w:val="-6"/>
          <w:w w:val="105"/>
          <w:vertAlign w:val="baseline"/>
        </w:rPr>
        <w:t>AG </w:t>
      </w:r>
      <w:r>
        <w:rPr>
          <w:color w:val="231F20"/>
          <w:w w:val="105"/>
          <w:vertAlign w:val="baseline"/>
        </w:rPr>
        <w:t>as to its ownership of the shares on the </w:t>
      </w:r>
      <w:r>
        <w:rPr>
          <w:color w:val="231F20"/>
          <w:spacing w:val="-3"/>
          <w:w w:val="105"/>
          <w:vertAlign w:val="baseline"/>
        </w:rPr>
        <w:t>Record </w:t>
      </w:r>
      <w:r>
        <w:rPr>
          <w:color w:val="231F20"/>
          <w:spacing w:val="-4"/>
          <w:w w:val="105"/>
          <w:vertAlign w:val="baseline"/>
        </w:rPr>
        <w:t>Date. </w:t>
      </w:r>
      <w:r>
        <w:rPr>
          <w:color w:val="231F20"/>
          <w:w w:val="105"/>
          <w:vertAlign w:val="baseline"/>
        </w:rPr>
        <w:t>Such confirmation can be obtained from Computershare by mail </w:t>
      </w:r>
      <w:r>
        <w:rPr>
          <w:color w:val="231F20"/>
          <w:spacing w:val="-3"/>
          <w:w w:val="105"/>
          <w:vertAlign w:val="baseline"/>
        </w:rPr>
        <w:t>at </w:t>
      </w:r>
      <w:r>
        <w:rPr>
          <w:color w:val="231F20"/>
          <w:w w:val="105"/>
          <w:vertAlign w:val="baseline"/>
        </w:rPr>
        <w:t>Computershare Schweiz </w:t>
      </w:r>
      <w:r>
        <w:rPr>
          <w:color w:val="231F20"/>
          <w:spacing w:val="-7"/>
          <w:w w:val="105"/>
          <w:vertAlign w:val="baseline"/>
        </w:rPr>
        <w:t>AG, </w:t>
      </w:r>
      <w:r>
        <w:rPr>
          <w:color w:val="231F20"/>
          <w:spacing w:val="-11"/>
          <w:w w:val="105"/>
          <w:vertAlign w:val="baseline"/>
        </w:rPr>
        <w:t>P.O. </w:t>
      </w:r>
      <w:r>
        <w:rPr>
          <w:color w:val="231F20"/>
          <w:w w:val="105"/>
          <w:vertAlign w:val="baseline"/>
        </w:rPr>
        <w:t>Box, 4601 Olten, Switzerland; by email </w:t>
      </w:r>
      <w:r>
        <w:rPr>
          <w:color w:val="231F20"/>
          <w:spacing w:val="-3"/>
          <w:w w:val="105"/>
          <w:vertAlign w:val="baseline"/>
        </w:rPr>
        <w:t>at </w:t>
      </w:r>
      <w:r>
        <w:rPr>
          <w:color w:val="231F20"/>
          <w:w w:val="105"/>
          <w:vertAlign w:val="baseline"/>
        </w:rPr>
        <w:t>share.register@computershare.ch; or by telephone </w:t>
      </w:r>
      <w:r>
        <w:rPr>
          <w:color w:val="231F20"/>
          <w:spacing w:val="-3"/>
          <w:w w:val="105"/>
          <w:vertAlign w:val="baseline"/>
        </w:rPr>
        <w:t>at </w:t>
      </w:r>
      <w:r>
        <w:rPr>
          <w:color w:val="231F20"/>
          <w:w w:val="105"/>
          <w:vertAlign w:val="baseline"/>
        </w:rPr>
        <w:t>+41 62 205 77</w:t>
      </w:r>
      <w:r>
        <w:rPr>
          <w:color w:val="231F20"/>
          <w:spacing w:val="-32"/>
          <w:w w:val="105"/>
          <w:vertAlign w:val="baseline"/>
        </w:rPr>
        <w:t> </w:t>
      </w:r>
      <w:r>
        <w:rPr>
          <w:color w:val="231F20"/>
          <w:w w:val="105"/>
          <w:vertAlign w:val="baseline"/>
        </w:rPr>
        <w:t>00.</w:t>
      </w:r>
    </w:p>
    <w:p>
      <w:pPr>
        <w:pStyle w:val="BodyText"/>
        <w:spacing w:line="244" w:lineRule="auto" w:before="167"/>
        <w:ind w:left="1090" w:right="1358" w:firstLine="399"/>
      </w:pPr>
      <w:r>
        <w:rPr>
          <w:color w:val="231F20"/>
          <w:spacing w:val="-10"/>
          <w:w w:val="105"/>
        </w:rPr>
        <w:t>We </w:t>
      </w:r>
      <w:r>
        <w:rPr>
          <w:color w:val="231F20"/>
          <w:w w:val="105"/>
        </w:rPr>
        <w:t>urge </w:t>
      </w:r>
      <w:r>
        <w:rPr>
          <w:color w:val="231F20"/>
          <w:spacing w:val="-3"/>
          <w:w w:val="105"/>
        </w:rPr>
        <w:t>all </w:t>
      </w:r>
      <w:r>
        <w:rPr>
          <w:color w:val="231F20"/>
          <w:w w:val="105"/>
        </w:rPr>
        <w:t>of our shareholders to review our </w:t>
      </w:r>
      <w:r>
        <w:rPr>
          <w:color w:val="231F20"/>
          <w:spacing w:val="-3"/>
          <w:w w:val="105"/>
        </w:rPr>
        <w:t>Annual </w:t>
      </w:r>
      <w:r>
        <w:rPr>
          <w:color w:val="231F20"/>
          <w:w w:val="105"/>
        </w:rPr>
        <w:t>Report on </w:t>
      </w:r>
      <w:r>
        <w:rPr>
          <w:color w:val="231F20"/>
          <w:spacing w:val="-3"/>
          <w:w w:val="105"/>
        </w:rPr>
        <w:t>Form </w:t>
      </w:r>
      <w:r>
        <w:rPr>
          <w:color w:val="231F20"/>
          <w:spacing w:val="-5"/>
          <w:w w:val="105"/>
        </w:rPr>
        <w:t>20-F, </w:t>
      </w:r>
      <w:r>
        <w:rPr>
          <w:color w:val="231F20"/>
          <w:w w:val="105"/>
        </w:rPr>
        <w:t>as amended, </w:t>
      </w:r>
      <w:r>
        <w:rPr>
          <w:color w:val="231F20"/>
          <w:spacing w:val="-3"/>
          <w:w w:val="105"/>
        </w:rPr>
        <w:t>for </w:t>
      </w:r>
      <w:r>
        <w:rPr>
          <w:color w:val="231F20"/>
          <w:w w:val="105"/>
        </w:rPr>
        <w:t>the fiscal year ended December 31, 2022, filed with the SEC on </w:t>
      </w:r>
      <w:r>
        <w:rPr>
          <w:color w:val="231F20"/>
          <w:spacing w:val="-3"/>
          <w:w w:val="105"/>
        </w:rPr>
        <w:t>May </w:t>
      </w:r>
      <w:r>
        <w:rPr>
          <w:color w:val="231F20"/>
          <w:w w:val="105"/>
        </w:rPr>
        <w:t>15, 2023, and our reports on </w:t>
      </w:r>
      <w:r>
        <w:rPr>
          <w:color w:val="231F20"/>
          <w:spacing w:val="-3"/>
          <w:w w:val="105"/>
        </w:rPr>
        <w:t>Form </w:t>
      </w:r>
      <w:r>
        <w:rPr>
          <w:color w:val="231F20"/>
          <w:w w:val="105"/>
        </w:rPr>
        <w:t>6-K furnished to the SEC, </w:t>
      </w:r>
      <w:r>
        <w:rPr>
          <w:color w:val="231F20"/>
          <w:spacing w:val="-3"/>
          <w:w w:val="105"/>
        </w:rPr>
        <w:t>all </w:t>
      </w:r>
      <w:r>
        <w:rPr>
          <w:color w:val="231F20"/>
          <w:w w:val="105"/>
        </w:rPr>
        <w:t>of which are </w:t>
      </w:r>
      <w:r>
        <w:rPr>
          <w:color w:val="231F20"/>
          <w:spacing w:val="-4"/>
          <w:w w:val="105"/>
        </w:rPr>
        <w:t>available </w:t>
      </w:r>
      <w:r>
        <w:rPr>
          <w:color w:val="231F20"/>
          <w:w w:val="105"/>
        </w:rPr>
        <w:t>on our website </w:t>
      </w:r>
      <w:r>
        <w:rPr>
          <w:color w:val="231F20"/>
          <w:spacing w:val="-3"/>
          <w:w w:val="105"/>
        </w:rPr>
        <w:t>at </w:t>
      </w:r>
      <w:hyperlink r:id="rId6">
        <w:r>
          <w:rPr>
            <w:color w:val="231F20"/>
            <w:w w:val="105"/>
          </w:rPr>
          <w:t>www.shl-telemedicine.com </w:t>
        </w:r>
      </w:hyperlink>
      <w:r>
        <w:rPr>
          <w:color w:val="231F20"/>
          <w:w w:val="105"/>
        </w:rPr>
        <w:t>or on the </w:t>
      </w:r>
      <w:r>
        <w:rPr>
          <w:color w:val="231F20"/>
          <w:spacing w:val="-4"/>
          <w:w w:val="105"/>
        </w:rPr>
        <w:t>SEC’s </w:t>
      </w:r>
      <w:r>
        <w:rPr>
          <w:color w:val="231F20"/>
          <w:w w:val="105"/>
        </w:rPr>
        <w:t>website </w:t>
      </w:r>
      <w:r>
        <w:rPr>
          <w:color w:val="231F20"/>
          <w:spacing w:val="-3"/>
          <w:w w:val="105"/>
        </w:rPr>
        <w:t>at </w:t>
      </w:r>
      <w:hyperlink r:id="rId9">
        <w:r>
          <w:rPr>
            <w:color w:val="231F20"/>
            <w:spacing w:val="-4"/>
            <w:w w:val="105"/>
          </w:rPr>
          <w:t>www.sec.gov.</w:t>
        </w:r>
      </w:hyperlink>
    </w:p>
    <w:p>
      <w:pPr>
        <w:pStyle w:val="BodyText"/>
        <w:spacing w:before="163"/>
        <w:ind w:left="1489"/>
      </w:pPr>
      <w:r>
        <w:rPr>
          <w:color w:val="231F20"/>
          <w:w w:val="105"/>
        </w:rPr>
        <w:t>We look forward to greeting as many of you as can attend the Meeting.</w:t>
      </w:r>
    </w:p>
    <w:p>
      <w:pPr>
        <w:pStyle w:val="BodyText"/>
        <w:spacing w:before="166"/>
        <w:ind w:left="5879"/>
      </w:pPr>
      <w:r>
        <w:rPr>
          <w:color w:val="231F20"/>
        </w:rPr>
        <w:t>Sincerely,</w:t>
      </w:r>
    </w:p>
    <w:p>
      <w:pPr>
        <w:pStyle w:val="BodyText"/>
        <w:spacing w:line="283" w:lineRule="auto" w:before="125"/>
        <w:ind w:left="5879" w:right="3971"/>
      </w:pPr>
      <w:r>
        <w:rPr/>
        <w:pict>
          <v:line style="position:absolute;mso-position-horizontal-relative:page;mso-position-vertical-relative:paragraph;z-index:-16512000" from="308.976013pt,19.629246pt" to="524.500013pt,19.629246pt" stroked="true" strokeweight=".499pt" strokecolor="#231f20">
            <v:stroke dashstyle="solid"/>
            <w10:wrap type="none"/>
          </v:line>
        </w:pict>
      </w:r>
      <w:r>
        <w:rPr>
          <w:color w:val="231F20"/>
          <w:w w:val="105"/>
        </w:rPr>
        <w:t>/s/ Yariv Alroy Yariv Alroy</w:t>
      </w:r>
    </w:p>
    <w:p>
      <w:pPr>
        <w:pStyle w:val="BodyText"/>
        <w:spacing w:line="194" w:lineRule="exact"/>
        <w:ind w:left="5879"/>
      </w:pPr>
      <w:r>
        <w:rPr>
          <w:color w:val="231F20"/>
          <w:w w:val="105"/>
        </w:rPr>
        <w:t>Co-Chairman of the Board of Directors</w:t>
      </w:r>
    </w:p>
    <w:p>
      <w:pPr>
        <w:spacing w:after="0" w:line="194" w:lineRule="exact"/>
        <w:sectPr>
          <w:type w:val="continuous"/>
          <w:pgSz w:w="11880" w:h="15480"/>
          <w:pgMar w:top="700" w:bottom="280" w:left="300" w:right="0"/>
        </w:sectPr>
      </w:pPr>
    </w:p>
    <w:p>
      <w:pPr>
        <w:pStyle w:val="Heading2"/>
        <w:spacing w:before="87"/>
        <w:ind w:left="1720" w:right="2017"/>
        <w:jc w:val="center"/>
      </w:pPr>
      <w:r>
        <w:rPr>
          <w:color w:val="231F20"/>
          <w:w w:val="105"/>
        </w:rPr>
        <w:t>SHL TELEMEDICINE LTD.</w:t>
      </w:r>
    </w:p>
    <w:p>
      <w:pPr>
        <w:pStyle w:val="BodyText"/>
        <w:spacing w:before="11"/>
        <w:rPr>
          <w:b/>
          <w:sz w:val="11"/>
        </w:rPr>
      </w:pPr>
      <w:r>
        <w:rPr/>
        <w:pict>
          <v:shape style="position:absolute;margin-left:243.121994pt;margin-top:9.090977pt;width:107.8pt;height:.1pt;mso-position-horizontal-relative:page;mso-position-vertical-relative:paragraph;z-index:-15726080;mso-wrap-distance-left:0;mso-wrap-distance-right:0" coordorigin="4862,182" coordsize="2156,0" path="m4862,182l7018,182e" filled="false" stroked="true" strokeweight=".499pt" strokecolor="#231f20">
            <v:path arrowok="t"/>
            <v:stroke dashstyle="solid"/>
            <w10:wrap type="topAndBottom"/>
          </v:shape>
        </w:pict>
      </w:r>
    </w:p>
    <w:p>
      <w:pPr>
        <w:spacing w:before="115"/>
        <w:ind w:left="1720" w:right="2017" w:firstLine="0"/>
        <w:jc w:val="center"/>
        <w:rPr>
          <w:b/>
          <w:sz w:val="20"/>
        </w:rPr>
      </w:pPr>
      <w:r>
        <w:rPr>
          <w:b/>
          <w:color w:val="231F20"/>
          <w:sz w:val="20"/>
        </w:rPr>
        <w:t>Notice of Annual General Meeting of Shareholders</w:t>
      </w:r>
    </w:p>
    <w:p>
      <w:pPr>
        <w:pStyle w:val="BodyText"/>
        <w:spacing w:line="252" w:lineRule="auto" w:before="169"/>
        <w:ind w:left="2955" w:right="3251"/>
        <w:jc w:val="center"/>
      </w:pPr>
      <w:r>
        <w:rPr>
          <w:color w:val="231F20"/>
        </w:rPr>
        <w:t>Ashdar Building — 2</w:t>
      </w:r>
      <w:r>
        <w:rPr>
          <w:color w:val="231F20"/>
          <w:vertAlign w:val="superscript"/>
        </w:rPr>
        <w:t>nd</w:t>
      </w:r>
      <w:r>
        <w:rPr>
          <w:color w:val="231F20"/>
          <w:vertAlign w:val="baseline"/>
        </w:rPr>
        <w:t> </w:t>
      </w:r>
      <w:r>
        <w:rPr>
          <w:color w:val="231F20"/>
          <w:spacing w:val="-4"/>
          <w:vertAlign w:val="baseline"/>
        </w:rPr>
        <w:t>Floor, </w:t>
      </w:r>
      <w:r>
        <w:rPr>
          <w:color w:val="231F20"/>
          <w:vertAlign w:val="baseline"/>
        </w:rPr>
        <w:t>90 </w:t>
      </w:r>
      <w:r>
        <w:rPr>
          <w:color w:val="231F20"/>
          <w:spacing w:val="-4"/>
          <w:vertAlign w:val="baseline"/>
        </w:rPr>
        <w:t>Yigal </w:t>
      </w:r>
      <w:r>
        <w:rPr>
          <w:color w:val="231F20"/>
          <w:vertAlign w:val="baseline"/>
        </w:rPr>
        <w:t>Alon Street, </w:t>
      </w:r>
      <w:r>
        <w:rPr>
          <w:color w:val="231F20"/>
          <w:spacing w:val="-6"/>
          <w:vertAlign w:val="baseline"/>
        </w:rPr>
        <w:t>Tel </w:t>
      </w:r>
      <w:r>
        <w:rPr>
          <w:color w:val="231F20"/>
          <w:spacing w:val="-9"/>
          <w:vertAlign w:val="baseline"/>
        </w:rPr>
        <w:t>Aviv, </w:t>
      </w:r>
      <w:r>
        <w:rPr>
          <w:color w:val="231F20"/>
          <w:vertAlign w:val="baseline"/>
        </w:rPr>
        <w:t>Israel </w:t>
      </w:r>
      <w:r>
        <w:rPr>
          <w:color w:val="231F20"/>
          <w:spacing w:val="-5"/>
          <w:vertAlign w:val="baseline"/>
        </w:rPr>
        <w:t>Tel:</w:t>
      </w:r>
      <w:r>
        <w:rPr>
          <w:color w:val="231F20"/>
          <w:spacing w:val="-1"/>
          <w:vertAlign w:val="baseline"/>
        </w:rPr>
        <w:t> </w:t>
      </w:r>
      <w:r>
        <w:rPr>
          <w:color w:val="231F20"/>
          <w:vertAlign w:val="baseline"/>
        </w:rPr>
        <w:t>+972-3-561-2212</w:t>
      </w:r>
    </w:p>
    <w:p>
      <w:pPr>
        <w:pStyle w:val="BodyText"/>
        <w:spacing w:before="1"/>
        <w:rPr>
          <w:sz w:val="11"/>
        </w:rPr>
      </w:pPr>
      <w:r>
        <w:rPr/>
        <w:pict>
          <v:shape style="position:absolute;margin-left:243.121994pt;margin-top:8.619027pt;width:107.8pt;height:.1pt;mso-position-horizontal-relative:page;mso-position-vertical-relative:paragraph;z-index:-15725568;mso-wrap-distance-left:0;mso-wrap-distance-right:0" coordorigin="4862,172" coordsize="2156,0" path="m4862,172l7018,172e" filled="false" stroked="true" strokeweight=".499pt" strokecolor="#231f20">
            <v:path arrowok="t"/>
            <v:stroke dashstyle="solid"/>
            <w10:wrap type="topAndBottom"/>
          </v:shape>
        </w:pict>
      </w:r>
    </w:p>
    <w:p>
      <w:pPr>
        <w:pStyle w:val="BodyText"/>
        <w:spacing w:line="252" w:lineRule="auto" w:before="115"/>
        <w:ind w:left="1090" w:right="1384" w:firstLine="399"/>
      </w:pPr>
      <w:r>
        <w:rPr>
          <w:color w:val="231F20"/>
          <w:w w:val="105"/>
        </w:rPr>
        <w:t>NOTICE IS </w:t>
      </w:r>
      <w:r>
        <w:rPr>
          <w:color w:val="231F20"/>
          <w:spacing w:val="-3"/>
          <w:w w:val="105"/>
        </w:rPr>
        <w:t>HEREBY </w:t>
      </w:r>
      <w:r>
        <w:rPr>
          <w:color w:val="231F20"/>
          <w:w w:val="105"/>
        </w:rPr>
        <w:t>GIVEN that an </w:t>
      </w:r>
      <w:r>
        <w:rPr>
          <w:color w:val="231F20"/>
          <w:spacing w:val="-3"/>
          <w:w w:val="105"/>
        </w:rPr>
        <w:t>Annual </w:t>
      </w:r>
      <w:r>
        <w:rPr>
          <w:color w:val="231F20"/>
          <w:w w:val="105"/>
        </w:rPr>
        <w:t>General Meeting (the “</w:t>
      </w:r>
      <w:r>
        <w:rPr>
          <w:b/>
          <w:color w:val="231F20"/>
          <w:w w:val="105"/>
        </w:rPr>
        <w:t>Annual General Meeting</w:t>
      </w:r>
      <w:r>
        <w:rPr>
          <w:color w:val="231F20"/>
          <w:w w:val="105"/>
        </w:rPr>
        <w:t>”, or the “</w:t>
      </w:r>
      <w:r>
        <w:rPr>
          <w:b/>
          <w:color w:val="231F20"/>
          <w:w w:val="105"/>
        </w:rPr>
        <w:t>Meeting</w:t>
      </w:r>
      <w:r>
        <w:rPr>
          <w:color w:val="231F20"/>
          <w:w w:val="105"/>
        </w:rPr>
        <w:t>”) of shareholders of SHL Telemedicine Ltd. (“</w:t>
      </w:r>
      <w:r>
        <w:rPr>
          <w:b/>
          <w:color w:val="231F20"/>
          <w:w w:val="105"/>
        </w:rPr>
        <w:t>SHL</w:t>
      </w:r>
      <w:r>
        <w:rPr>
          <w:color w:val="231F20"/>
          <w:w w:val="105"/>
        </w:rPr>
        <w:t>” or the “</w:t>
      </w:r>
      <w:r>
        <w:rPr>
          <w:b/>
          <w:color w:val="231F20"/>
          <w:w w:val="105"/>
        </w:rPr>
        <w:t>Company</w:t>
      </w:r>
      <w:r>
        <w:rPr>
          <w:color w:val="231F20"/>
          <w:w w:val="105"/>
        </w:rPr>
        <w:t>”) will be held on </w:t>
      </w:r>
      <w:r>
        <w:rPr>
          <w:color w:val="231F20"/>
          <w:spacing w:val="-3"/>
          <w:w w:val="105"/>
        </w:rPr>
        <w:t>Thursday, </w:t>
      </w:r>
      <w:r>
        <w:rPr>
          <w:color w:val="231F20"/>
          <w:w w:val="105"/>
        </w:rPr>
        <w:t>February 8, 2024, </w:t>
      </w:r>
      <w:r>
        <w:rPr>
          <w:color w:val="231F20"/>
          <w:spacing w:val="-3"/>
          <w:w w:val="105"/>
        </w:rPr>
        <w:t>at </w:t>
      </w:r>
      <w:r>
        <w:rPr>
          <w:color w:val="231F20"/>
          <w:w w:val="105"/>
        </w:rPr>
        <w:t>5:00 </w:t>
      </w:r>
      <w:r>
        <w:rPr>
          <w:color w:val="231F20"/>
          <w:spacing w:val="-4"/>
          <w:w w:val="105"/>
        </w:rPr>
        <w:t>p.m. </w:t>
      </w:r>
      <w:r>
        <w:rPr>
          <w:color w:val="231F20"/>
          <w:w w:val="105"/>
        </w:rPr>
        <w:t>Israel time, </w:t>
      </w:r>
      <w:r>
        <w:rPr>
          <w:color w:val="231F20"/>
          <w:spacing w:val="-3"/>
          <w:w w:val="105"/>
        </w:rPr>
        <w:t>at </w:t>
      </w:r>
      <w:r>
        <w:rPr>
          <w:color w:val="231F20"/>
          <w:w w:val="105"/>
        </w:rPr>
        <w:t>our offices </w:t>
      </w:r>
      <w:r>
        <w:rPr>
          <w:color w:val="231F20"/>
          <w:spacing w:val="-3"/>
          <w:w w:val="105"/>
        </w:rPr>
        <w:t>at </w:t>
      </w:r>
      <w:r>
        <w:rPr>
          <w:color w:val="231F20"/>
          <w:w w:val="105"/>
        </w:rPr>
        <w:t>Ashdar Building — 2</w:t>
      </w:r>
      <w:r>
        <w:rPr>
          <w:color w:val="231F20"/>
          <w:w w:val="105"/>
          <w:vertAlign w:val="superscript"/>
        </w:rPr>
        <w:t>nd</w:t>
      </w:r>
      <w:r>
        <w:rPr>
          <w:color w:val="231F20"/>
          <w:w w:val="105"/>
          <w:vertAlign w:val="baseline"/>
        </w:rPr>
        <w:t> </w:t>
      </w:r>
      <w:r>
        <w:rPr>
          <w:color w:val="231F20"/>
          <w:spacing w:val="-4"/>
          <w:w w:val="105"/>
          <w:vertAlign w:val="baseline"/>
        </w:rPr>
        <w:t>Floor, </w:t>
      </w:r>
      <w:r>
        <w:rPr>
          <w:color w:val="231F20"/>
          <w:w w:val="105"/>
          <w:vertAlign w:val="baseline"/>
        </w:rPr>
        <w:t>90 </w:t>
      </w:r>
      <w:r>
        <w:rPr>
          <w:color w:val="231F20"/>
          <w:spacing w:val="-4"/>
          <w:w w:val="105"/>
          <w:vertAlign w:val="baseline"/>
        </w:rPr>
        <w:t>Yigal </w:t>
      </w:r>
      <w:r>
        <w:rPr>
          <w:color w:val="231F20"/>
          <w:w w:val="105"/>
          <w:vertAlign w:val="baseline"/>
        </w:rPr>
        <w:t>Alon Street, </w:t>
      </w:r>
      <w:r>
        <w:rPr>
          <w:color w:val="231F20"/>
          <w:spacing w:val="-6"/>
          <w:w w:val="105"/>
          <w:vertAlign w:val="baseline"/>
        </w:rPr>
        <w:t>Tel </w:t>
      </w:r>
      <w:r>
        <w:rPr>
          <w:color w:val="231F20"/>
          <w:spacing w:val="-9"/>
          <w:w w:val="105"/>
          <w:vertAlign w:val="baseline"/>
        </w:rPr>
        <w:t>Aviv, </w:t>
      </w:r>
      <w:r>
        <w:rPr>
          <w:color w:val="231F20"/>
          <w:w w:val="105"/>
          <w:vertAlign w:val="baseline"/>
        </w:rPr>
        <w:t>Israel. This Notice is furnished to holders of our American Depositary Shares, each representing</w:t>
      </w:r>
      <w:r>
        <w:rPr>
          <w:color w:val="231F20"/>
          <w:spacing w:val="-10"/>
          <w:w w:val="105"/>
          <w:vertAlign w:val="baseline"/>
        </w:rPr>
        <w:t> </w:t>
      </w:r>
      <w:r>
        <w:rPr>
          <w:color w:val="231F20"/>
          <w:w w:val="105"/>
          <w:vertAlign w:val="baseline"/>
        </w:rPr>
        <w:t>one</w:t>
      </w:r>
      <w:r>
        <w:rPr>
          <w:color w:val="231F20"/>
          <w:spacing w:val="-9"/>
          <w:w w:val="105"/>
          <w:vertAlign w:val="baseline"/>
        </w:rPr>
        <w:t> </w:t>
      </w:r>
      <w:r>
        <w:rPr>
          <w:color w:val="231F20"/>
          <w:w w:val="105"/>
          <w:vertAlign w:val="baseline"/>
        </w:rPr>
        <w:t>(1)</w:t>
      </w:r>
      <w:r>
        <w:rPr>
          <w:color w:val="231F20"/>
          <w:spacing w:val="-9"/>
          <w:w w:val="105"/>
          <w:vertAlign w:val="baseline"/>
        </w:rPr>
        <w:t> </w:t>
      </w:r>
      <w:r>
        <w:rPr>
          <w:color w:val="231F20"/>
          <w:w w:val="105"/>
          <w:vertAlign w:val="baseline"/>
        </w:rPr>
        <w:t>ordinary</w:t>
      </w:r>
      <w:r>
        <w:rPr>
          <w:color w:val="231F20"/>
          <w:spacing w:val="-9"/>
          <w:w w:val="105"/>
          <w:vertAlign w:val="baseline"/>
        </w:rPr>
        <w:t> </w:t>
      </w:r>
      <w:r>
        <w:rPr>
          <w:color w:val="231F20"/>
          <w:w w:val="105"/>
          <w:vertAlign w:val="baseline"/>
        </w:rPr>
        <w:t>share</w:t>
      </w:r>
      <w:r>
        <w:rPr>
          <w:color w:val="231F20"/>
          <w:spacing w:val="-9"/>
          <w:w w:val="105"/>
          <w:vertAlign w:val="baseline"/>
        </w:rPr>
        <w:t> </w:t>
      </w:r>
      <w:r>
        <w:rPr>
          <w:color w:val="231F20"/>
          <w:w w:val="105"/>
          <w:vertAlign w:val="baseline"/>
        </w:rPr>
        <w:t>(the</w:t>
      </w:r>
      <w:r>
        <w:rPr>
          <w:color w:val="231F20"/>
          <w:spacing w:val="-10"/>
          <w:w w:val="105"/>
          <w:vertAlign w:val="baseline"/>
        </w:rPr>
        <w:t> </w:t>
      </w:r>
      <w:r>
        <w:rPr>
          <w:color w:val="231F20"/>
          <w:w w:val="105"/>
          <w:vertAlign w:val="baseline"/>
        </w:rPr>
        <w:t>“</w:t>
      </w:r>
      <w:r>
        <w:rPr>
          <w:b/>
          <w:color w:val="231F20"/>
          <w:w w:val="105"/>
          <w:vertAlign w:val="baseline"/>
        </w:rPr>
        <w:t>ADSs</w:t>
      </w:r>
      <w:r>
        <w:rPr>
          <w:color w:val="231F20"/>
          <w:w w:val="105"/>
          <w:vertAlign w:val="baseline"/>
        </w:rPr>
        <w:t>”),</w:t>
      </w:r>
      <w:r>
        <w:rPr>
          <w:color w:val="231F20"/>
          <w:spacing w:val="-9"/>
          <w:w w:val="105"/>
          <w:vertAlign w:val="baseline"/>
        </w:rPr>
        <w:t> </w:t>
      </w:r>
      <w:r>
        <w:rPr>
          <w:color w:val="231F20"/>
          <w:w w:val="105"/>
          <w:vertAlign w:val="baseline"/>
        </w:rPr>
        <w:t>and</w:t>
      </w:r>
      <w:r>
        <w:rPr>
          <w:color w:val="231F20"/>
          <w:spacing w:val="-9"/>
          <w:w w:val="105"/>
          <w:vertAlign w:val="baseline"/>
        </w:rPr>
        <w:t> </w:t>
      </w:r>
      <w:r>
        <w:rPr>
          <w:color w:val="231F20"/>
          <w:w w:val="105"/>
          <w:vertAlign w:val="baseline"/>
        </w:rPr>
        <w:t>holders</w:t>
      </w:r>
      <w:r>
        <w:rPr>
          <w:color w:val="231F20"/>
          <w:spacing w:val="-9"/>
          <w:w w:val="105"/>
          <w:vertAlign w:val="baseline"/>
        </w:rPr>
        <w:t> </w:t>
      </w:r>
      <w:r>
        <w:rPr>
          <w:color w:val="231F20"/>
          <w:w w:val="105"/>
          <w:vertAlign w:val="baseline"/>
        </w:rPr>
        <w:t>of</w:t>
      </w:r>
      <w:r>
        <w:rPr>
          <w:color w:val="231F20"/>
          <w:spacing w:val="11"/>
          <w:w w:val="105"/>
          <w:vertAlign w:val="baseline"/>
        </w:rPr>
        <w:t> </w:t>
      </w:r>
      <w:r>
        <w:rPr>
          <w:color w:val="231F20"/>
          <w:w w:val="105"/>
          <w:vertAlign w:val="baseline"/>
        </w:rPr>
        <w:t>our</w:t>
      </w:r>
      <w:r>
        <w:rPr>
          <w:color w:val="231F20"/>
          <w:spacing w:val="-9"/>
          <w:w w:val="105"/>
          <w:vertAlign w:val="baseline"/>
        </w:rPr>
        <w:t> </w:t>
      </w:r>
      <w:r>
        <w:rPr>
          <w:color w:val="231F20"/>
          <w:w w:val="105"/>
          <w:vertAlign w:val="baseline"/>
        </w:rPr>
        <w:t>ordinary</w:t>
      </w:r>
      <w:r>
        <w:rPr>
          <w:color w:val="231F20"/>
          <w:spacing w:val="-9"/>
          <w:w w:val="105"/>
          <w:vertAlign w:val="baseline"/>
        </w:rPr>
        <w:t> </w:t>
      </w:r>
      <w:r>
        <w:rPr>
          <w:color w:val="231F20"/>
          <w:w w:val="105"/>
          <w:vertAlign w:val="baseline"/>
        </w:rPr>
        <w:t>shares,</w:t>
      </w:r>
      <w:r>
        <w:rPr>
          <w:color w:val="231F20"/>
          <w:spacing w:val="-10"/>
          <w:w w:val="105"/>
          <w:vertAlign w:val="baseline"/>
        </w:rPr>
        <w:t> </w:t>
      </w:r>
      <w:r>
        <w:rPr>
          <w:color w:val="231F20"/>
          <w:w w:val="105"/>
          <w:vertAlign w:val="baseline"/>
        </w:rPr>
        <w:t>nominal</w:t>
      </w:r>
      <w:r>
        <w:rPr>
          <w:color w:val="231F20"/>
          <w:spacing w:val="-9"/>
          <w:w w:val="105"/>
          <w:vertAlign w:val="baseline"/>
        </w:rPr>
        <w:t> </w:t>
      </w:r>
      <w:r>
        <w:rPr>
          <w:color w:val="231F20"/>
          <w:spacing w:val="-3"/>
          <w:w w:val="105"/>
          <w:vertAlign w:val="baseline"/>
        </w:rPr>
        <w:t>value</w:t>
      </w:r>
      <w:r>
        <w:rPr>
          <w:color w:val="231F20"/>
          <w:spacing w:val="-9"/>
          <w:w w:val="105"/>
          <w:vertAlign w:val="baseline"/>
        </w:rPr>
        <w:t> </w:t>
      </w:r>
      <w:r>
        <w:rPr>
          <w:color w:val="231F20"/>
          <w:w w:val="105"/>
          <w:vertAlign w:val="baseline"/>
        </w:rPr>
        <w:t>NIS</w:t>
      </w:r>
      <w:r>
        <w:rPr>
          <w:color w:val="231F20"/>
          <w:spacing w:val="-9"/>
          <w:w w:val="105"/>
          <w:vertAlign w:val="baseline"/>
        </w:rPr>
        <w:t> </w:t>
      </w:r>
      <w:r>
        <w:rPr>
          <w:color w:val="231F20"/>
          <w:w w:val="105"/>
          <w:vertAlign w:val="baseline"/>
        </w:rPr>
        <w:t>0.01 per share (the “</w:t>
      </w:r>
      <w:r>
        <w:rPr>
          <w:b/>
          <w:color w:val="231F20"/>
          <w:w w:val="105"/>
          <w:vertAlign w:val="baseline"/>
        </w:rPr>
        <w:t>ordinary shares</w:t>
      </w:r>
      <w:r>
        <w:rPr>
          <w:color w:val="231F20"/>
          <w:w w:val="105"/>
          <w:vertAlign w:val="baseline"/>
        </w:rPr>
        <w:t>”, and together with the ADSs, the “</w:t>
      </w:r>
      <w:r>
        <w:rPr>
          <w:b/>
          <w:color w:val="231F20"/>
          <w:w w:val="105"/>
          <w:vertAlign w:val="baseline"/>
        </w:rPr>
        <w:t>shares</w:t>
      </w:r>
      <w:r>
        <w:rPr>
          <w:color w:val="231F20"/>
          <w:w w:val="105"/>
          <w:vertAlign w:val="baseline"/>
        </w:rPr>
        <w:t>”), collectively referred to as the “</w:t>
      </w:r>
      <w:r>
        <w:rPr>
          <w:b/>
          <w:color w:val="231F20"/>
          <w:w w:val="105"/>
          <w:vertAlign w:val="baseline"/>
        </w:rPr>
        <w:t>shareholders</w:t>
      </w:r>
      <w:r>
        <w:rPr>
          <w:color w:val="231F20"/>
          <w:w w:val="105"/>
          <w:vertAlign w:val="baseline"/>
        </w:rPr>
        <w:t>”.</w:t>
      </w:r>
    </w:p>
    <w:p>
      <w:pPr>
        <w:pStyle w:val="BodyText"/>
        <w:spacing w:before="158"/>
        <w:ind w:left="1489"/>
      </w:pPr>
      <w:r>
        <w:rPr>
          <w:color w:val="231F20"/>
          <w:w w:val="105"/>
        </w:rPr>
        <w:t>The Meeting is being called for the following purposes:</w:t>
      </w:r>
    </w:p>
    <w:p>
      <w:pPr>
        <w:pStyle w:val="ListParagraph"/>
        <w:numPr>
          <w:ilvl w:val="2"/>
          <w:numId w:val="1"/>
        </w:numPr>
        <w:tabs>
          <w:tab w:pos="1888" w:val="left" w:leader="none"/>
          <w:tab w:pos="1889" w:val="left" w:leader="none"/>
        </w:tabs>
        <w:spacing w:line="249" w:lineRule="auto" w:before="169" w:after="0"/>
        <w:ind w:left="1888" w:right="1835" w:hanging="400"/>
        <w:jc w:val="left"/>
        <w:rPr>
          <w:sz w:val="20"/>
        </w:rPr>
      </w:pPr>
      <w:r>
        <w:rPr>
          <w:color w:val="231F20"/>
          <w:spacing w:val="-11"/>
          <w:w w:val="105"/>
          <w:sz w:val="20"/>
        </w:rPr>
        <w:t>To </w:t>
      </w:r>
      <w:r>
        <w:rPr>
          <w:color w:val="231F20"/>
          <w:w w:val="105"/>
          <w:sz w:val="20"/>
        </w:rPr>
        <w:t>amend our Articles of Association to increase the maximum number of directors who can serve on the Board </w:t>
      </w:r>
      <w:r>
        <w:rPr>
          <w:color w:val="231F20"/>
          <w:spacing w:val="-3"/>
          <w:w w:val="105"/>
          <w:sz w:val="20"/>
        </w:rPr>
        <w:t>at any </w:t>
      </w:r>
      <w:r>
        <w:rPr>
          <w:color w:val="231F20"/>
          <w:w w:val="105"/>
          <w:sz w:val="20"/>
        </w:rPr>
        <w:t>one time from nine (9) to ten</w:t>
      </w:r>
      <w:r>
        <w:rPr>
          <w:color w:val="231F20"/>
          <w:spacing w:val="-34"/>
          <w:w w:val="105"/>
          <w:sz w:val="20"/>
        </w:rPr>
        <w:t> </w:t>
      </w:r>
      <w:r>
        <w:rPr>
          <w:color w:val="231F20"/>
          <w:w w:val="105"/>
          <w:sz w:val="20"/>
        </w:rPr>
        <w:t>(10).</w:t>
      </w:r>
    </w:p>
    <w:p>
      <w:pPr>
        <w:pStyle w:val="ListParagraph"/>
        <w:numPr>
          <w:ilvl w:val="2"/>
          <w:numId w:val="1"/>
        </w:numPr>
        <w:tabs>
          <w:tab w:pos="1888" w:val="left" w:leader="none"/>
          <w:tab w:pos="1889" w:val="left" w:leader="none"/>
        </w:tabs>
        <w:spacing w:line="249" w:lineRule="auto" w:before="160" w:after="0"/>
        <w:ind w:left="1888" w:right="1386" w:hanging="400"/>
        <w:jc w:val="left"/>
        <w:rPr>
          <w:sz w:val="20"/>
        </w:rPr>
      </w:pPr>
      <w:r>
        <w:rPr>
          <w:color w:val="231F20"/>
          <w:spacing w:val="-11"/>
          <w:w w:val="105"/>
          <w:sz w:val="20"/>
        </w:rPr>
        <w:t>To </w:t>
      </w:r>
      <w:r>
        <w:rPr>
          <w:color w:val="231F20"/>
          <w:w w:val="105"/>
          <w:sz w:val="20"/>
        </w:rPr>
        <w:t>reelect our six current directors (excluding our </w:t>
      </w:r>
      <w:r>
        <w:rPr>
          <w:color w:val="231F20"/>
          <w:spacing w:val="-3"/>
          <w:w w:val="105"/>
          <w:sz w:val="20"/>
        </w:rPr>
        <w:t>two </w:t>
      </w:r>
      <w:r>
        <w:rPr>
          <w:color w:val="231F20"/>
          <w:w w:val="105"/>
          <w:sz w:val="20"/>
        </w:rPr>
        <w:t>external directors, whose terms of office are not expiring </w:t>
      </w:r>
      <w:r>
        <w:rPr>
          <w:color w:val="231F20"/>
          <w:spacing w:val="-3"/>
          <w:w w:val="105"/>
          <w:sz w:val="20"/>
        </w:rPr>
        <w:t>at </w:t>
      </w:r>
      <w:r>
        <w:rPr>
          <w:color w:val="231F20"/>
          <w:w w:val="105"/>
          <w:sz w:val="20"/>
        </w:rPr>
        <w:t>the Meeting and who are not up </w:t>
      </w:r>
      <w:r>
        <w:rPr>
          <w:color w:val="231F20"/>
          <w:spacing w:val="-3"/>
          <w:w w:val="105"/>
          <w:sz w:val="20"/>
        </w:rPr>
        <w:t>for </w:t>
      </w:r>
      <w:r>
        <w:rPr>
          <w:color w:val="231F20"/>
          <w:w w:val="105"/>
          <w:sz w:val="20"/>
        </w:rPr>
        <w:t>reelection </w:t>
      </w:r>
      <w:r>
        <w:rPr>
          <w:color w:val="231F20"/>
          <w:spacing w:val="-3"/>
          <w:w w:val="105"/>
          <w:sz w:val="20"/>
        </w:rPr>
        <w:t>at </w:t>
      </w:r>
      <w:r>
        <w:rPr>
          <w:color w:val="231F20"/>
          <w:w w:val="105"/>
          <w:sz w:val="20"/>
        </w:rPr>
        <w:t>the Meeting), each as a member  of</w:t>
      </w:r>
      <w:r>
        <w:rPr>
          <w:color w:val="231F20"/>
          <w:spacing w:val="10"/>
          <w:w w:val="105"/>
          <w:sz w:val="20"/>
        </w:rPr>
        <w:t> </w:t>
      </w:r>
      <w:r>
        <w:rPr>
          <w:color w:val="231F20"/>
          <w:w w:val="105"/>
          <w:sz w:val="20"/>
        </w:rPr>
        <w:t>the</w:t>
      </w:r>
      <w:r>
        <w:rPr>
          <w:color w:val="231F20"/>
          <w:spacing w:val="-7"/>
          <w:w w:val="105"/>
          <w:sz w:val="20"/>
        </w:rPr>
        <w:t> </w:t>
      </w:r>
      <w:r>
        <w:rPr>
          <w:color w:val="231F20"/>
          <w:w w:val="105"/>
          <w:sz w:val="20"/>
        </w:rPr>
        <w:t>board</w:t>
      </w:r>
      <w:r>
        <w:rPr>
          <w:color w:val="231F20"/>
          <w:spacing w:val="-7"/>
          <w:w w:val="105"/>
          <w:sz w:val="20"/>
        </w:rPr>
        <w:t> </w:t>
      </w:r>
      <w:r>
        <w:rPr>
          <w:color w:val="231F20"/>
          <w:w w:val="105"/>
          <w:sz w:val="20"/>
        </w:rPr>
        <w:t>of</w:t>
      </w:r>
      <w:r>
        <w:rPr>
          <w:color w:val="231F20"/>
          <w:spacing w:val="10"/>
          <w:w w:val="105"/>
          <w:sz w:val="20"/>
        </w:rPr>
        <w:t> </w:t>
      </w:r>
      <w:r>
        <w:rPr>
          <w:color w:val="231F20"/>
          <w:w w:val="105"/>
          <w:sz w:val="20"/>
        </w:rPr>
        <w:t>directors</w:t>
      </w:r>
      <w:r>
        <w:rPr>
          <w:color w:val="231F20"/>
          <w:spacing w:val="-7"/>
          <w:w w:val="105"/>
          <w:sz w:val="20"/>
        </w:rPr>
        <w:t> </w:t>
      </w:r>
      <w:r>
        <w:rPr>
          <w:color w:val="231F20"/>
          <w:w w:val="105"/>
          <w:sz w:val="20"/>
        </w:rPr>
        <w:t>of</w:t>
      </w:r>
      <w:r>
        <w:rPr>
          <w:color w:val="231F20"/>
          <w:spacing w:val="11"/>
          <w:w w:val="105"/>
          <w:sz w:val="20"/>
        </w:rPr>
        <w:t> </w:t>
      </w:r>
      <w:r>
        <w:rPr>
          <w:color w:val="231F20"/>
          <w:w w:val="105"/>
          <w:sz w:val="20"/>
        </w:rPr>
        <w:t>the</w:t>
      </w:r>
      <w:r>
        <w:rPr>
          <w:color w:val="231F20"/>
          <w:spacing w:val="-7"/>
          <w:w w:val="105"/>
          <w:sz w:val="20"/>
        </w:rPr>
        <w:t> </w:t>
      </w:r>
      <w:r>
        <w:rPr>
          <w:color w:val="231F20"/>
          <w:w w:val="105"/>
          <w:sz w:val="20"/>
        </w:rPr>
        <w:t>Company</w:t>
      </w:r>
      <w:r>
        <w:rPr>
          <w:color w:val="231F20"/>
          <w:spacing w:val="-7"/>
          <w:w w:val="105"/>
          <w:sz w:val="20"/>
        </w:rPr>
        <w:t> </w:t>
      </w:r>
      <w:r>
        <w:rPr>
          <w:color w:val="231F20"/>
          <w:w w:val="105"/>
          <w:sz w:val="20"/>
        </w:rPr>
        <w:t>(the</w:t>
      </w:r>
      <w:r>
        <w:rPr>
          <w:color w:val="231F20"/>
          <w:spacing w:val="-7"/>
          <w:w w:val="105"/>
          <w:sz w:val="20"/>
        </w:rPr>
        <w:t> </w:t>
      </w:r>
      <w:r>
        <w:rPr>
          <w:color w:val="231F20"/>
          <w:w w:val="105"/>
          <w:sz w:val="20"/>
        </w:rPr>
        <w:t>“</w:t>
      </w:r>
      <w:r>
        <w:rPr>
          <w:b/>
          <w:color w:val="231F20"/>
          <w:w w:val="105"/>
          <w:sz w:val="20"/>
        </w:rPr>
        <w:t>Board</w:t>
      </w:r>
      <w:r>
        <w:rPr>
          <w:color w:val="231F20"/>
          <w:w w:val="105"/>
          <w:sz w:val="20"/>
        </w:rPr>
        <w:t>”</w:t>
      </w:r>
      <w:r>
        <w:rPr>
          <w:color w:val="231F20"/>
          <w:spacing w:val="-18"/>
          <w:w w:val="105"/>
          <w:sz w:val="20"/>
        </w:rPr>
        <w:t> </w:t>
      </w:r>
      <w:r>
        <w:rPr>
          <w:color w:val="231F20"/>
          <w:w w:val="105"/>
          <w:sz w:val="20"/>
        </w:rPr>
        <w:t>or</w:t>
      </w:r>
      <w:r>
        <w:rPr>
          <w:color w:val="231F20"/>
          <w:spacing w:val="-7"/>
          <w:w w:val="105"/>
          <w:sz w:val="20"/>
        </w:rPr>
        <w:t> </w:t>
      </w:r>
      <w:r>
        <w:rPr>
          <w:color w:val="231F20"/>
          <w:w w:val="105"/>
          <w:sz w:val="20"/>
        </w:rPr>
        <w:t>the</w:t>
      </w:r>
      <w:r>
        <w:rPr>
          <w:color w:val="231F20"/>
          <w:spacing w:val="-7"/>
          <w:w w:val="105"/>
          <w:sz w:val="20"/>
        </w:rPr>
        <w:t> </w:t>
      </w:r>
      <w:r>
        <w:rPr>
          <w:color w:val="231F20"/>
          <w:w w:val="105"/>
          <w:sz w:val="20"/>
        </w:rPr>
        <w:t>“</w:t>
      </w:r>
      <w:r>
        <w:rPr>
          <w:b/>
          <w:color w:val="231F20"/>
          <w:w w:val="105"/>
          <w:sz w:val="20"/>
        </w:rPr>
        <w:t>Board</w:t>
      </w:r>
      <w:r>
        <w:rPr>
          <w:b/>
          <w:color w:val="231F20"/>
          <w:spacing w:val="-7"/>
          <w:w w:val="105"/>
          <w:sz w:val="20"/>
        </w:rPr>
        <w:t> </w:t>
      </w:r>
      <w:r>
        <w:rPr>
          <w:b/>
          <w:color w:val="231F20"/>
          <w:w w:val="105"/>
          <w:sz w:val="20"/>
        </w:rPr>
        <w:t>of</w:t>
      </w:r>
      <w:r>
        <w:rPr>
          <w:b/>
          <w:color w:val="231F20"/>
          <w:spacing w:val="7"/>
          <w:w w:val="105"/>
          <w:sz w:val="20"/>
        </w:rPr>
        <w:t> </w:t>
      </w:r>
      <w:r>
        <w:rPr>
          <w:b/>
          <w:color w:val="231F20"/>
          <w:w w:val="105"/>
          <w:sz w:val="20"/>
        </w:rPr>
        <w:t>Directors</w:t>
      </w:r>
      <w:r>
        <w:rPr>
          <w:color w:val="231F20"/>
          <w:w w:val="105"/>
          <w:sz w:val="20"/>
        </w:rPr>
        <w:t>”),</w:t>
      </w:r>
      <w:r>
        <w:rPr>
          <w:color w:val="231F20"/>
          <w:spacing w:val="-7"/>
          <w:w w:val="105"/>
          <w:sz w:val="20"/>
        </w:rPr>
        <w:t> </w:t>
      </w:r>
      <w:r>
        <w:rPr>
          <w:color w:val="231F20"/>
          <w:w w:val="105"/>
          <w:sz w:val="20"/>
        </w:rPr>
        <w:t>to</w:t>
      </w:r>
      <w:r>
        <w:rPr>
          <w:color w:val="231F20"/>
          <w:spacing w:val="-7"/>
          <w:w w:val="105"/>
          <w:sz w:val="20"/>
        </w:rPr>
        <w:t> </w:t>
      </w:r>
      <w:r>
        <w:rPr>
          <w:color w:val="231F20"/>
          <w:w w:val="105"/>
          <w:sz w:val="20"/>
        </w:rPr>
        <w:t>serve</w:t>
      </w:r>
      <w:r>
        <w:rPr>
          <w:color w:val="231F20"/>
          <w:spacing w:val="-7"/>
          <w:w w:val="105"/>
          <w:sz w:val="20"/>
        </w:rPr>
        <w:t> </w:t>
      </w:r>
      <w:r>
        <w:rPr>
          <w:color w:val="231F20"/>
          <w:w w:val="105"/>
          <w:sz w:val="20"/>
        </w:rPr>
        <w:t>until the next </w:t>
      </w:r>
      <w:r>
        <w:rPr>
          <w:color w:val="231F20"/>
          <w:spacing w:val="-3"/>
          <w:w w:val="105"/>
          <w:sz w:val="20"/>
        </w:rPr>
        <w:t>annual </w:t>
      </w:r>
      <w:r>
        <w:rPr>
          <w:color w:val="231F20"/>
          <w:w w:val="105"/>
          <w:sz w:val="20"/>
        </w:rPr>
        <w:t>meeting of shareholders and until his or her successor has been duly elected and qualified or until his or her office is vacated in accordance with the </w:t>
      </w:r>
      <w:r>
        <w:rPr>
          <w:color w:val="231F20"/>
          <w:spacing w:val="-3"/>
          <w:w w:val="105"/>
          <w:sz w:val="20"/>
        </w:rPr>
        <w:t>Company’s </w:t>
      </w:r>
      <w:r>
        <w:rPr>
          <w:color w:val="231F20"/>
          <w:w w:val="105"/>
          <w:sz w:val="20"/>
        </w:rPr>
        <w:t>Articles of Association or the Israel Companies </w:t>
      </w:r>
      <w:r>
        <w:rPr>
          <w:color w:val="231F20"/>
          <w:spacing w:val="-8"/>
          <w:w w:val="105"/>
          <w:sz w:val="20"/>
        </w:rPr>
        <w:t>Law, </w:t>
      </w:r>
      <w:r>
        <w:rPr>
          <w:color w:val="231F20"/>
          <w:w w:val="105"/>
          <w:sz w:val="20"/>
        </w:rPr>
        <w:t>5759-1999 (the “</w:t>
      </w:r>
      <w:r>
        <w:rPr>
          <w:b/>
          <w:color w:val="231F20"/>
          <w:w w:val="105"/>
          <w:sz w:val="20"/>
        </w:rPr>
        <w:t>Israel Companies Law</w:t>
      </w:r>
      <w:r>
        <w:rPr>
          <w:color w:val="231F20"/>
          <w:w w:val="105"/>
          <w:sz w:val="20"/>
        </w:rPr>
        <w:t>”) (a separate vote</w:t>
      </w:r>
      <w:r>
        <w:rPr>
          <w:color w:val="231F20"/>
          <w:spacing w:val="-7"/>
          <w:w w:val="105"/>
          <w:sz w:val="20"/>
        </w:rPr>
        <w:t> </w:t>
      </w:r>
      <w:r>
        <w:rPr>
          <w:color w:val="231F20"/>
          <w:w w:val="105"/>
          <w:sz w:val="20"/>
        </w:rPr>
        <w:t>will</w:t>
      </w:r>
      <w:r>
        <w:rPr>
          <w:color w:val="231F20"/>
          <w:spacing w:val="-7"/>
          <w:w w:val="105"/>
          <w:sz w:val="20"/>
        </w:rPr>
        <w:t> </w:t>
      </w:r>
      <w:r>
        <w:rPr>
          <w:color w:val="231F20"/>
          <w:w w:val="105"/>
          <w:sz w:val="20"/>
        </w:rPr>
        <w:t>be</w:t>
      </w:r>
      <w:r>
        <w:rPr>
          <w:color w:val="231F20"/>
          <w:spacing w:val="-7"/>
          <w:w w:val="105"/>
          <w:sz w:val="20"/>
        </w:rPr>
        <w:t> </w:t>
      </w:r>
      <w:r>
        <w:rPr>
          <w:color w:val="231F20"/>
          <w:w w:val="105"/>
          <w:sz w:val="20"/>
        </w:rPr>
        <w:t>conducted</w:t>
      </w:r>
      <w:r>
        <w:rPr>
          <w:color w:val="231F20"/>
          <w:spacing w:val="-6"/>
          <w:w w:val="105"/>
          <w:sz w:val="20"/>
        </w:rPr>
        <w:t> </w:t>
      </w:r>
      <w:r>
        <w:rPr>
          <w:color w:val="231F20"/>
          <w:w w:val="105"/>
          <w:sz w:val="20"/>
        </w:rPr>
        <w:t>with</w:t>
      </w:r>
      <w:r>
        <w:rPr>
          <w:color w:val="231F20"/>
          <w:spacing w:val="-7"/>
          <w:w w:val="105"/>
          <w:sz w:val="20"/>
        </w:rPr>
        <w:t> </w:t>
      </w:r>
      <w:r>
        <w:rPr>
          <w:color w:val="231F20"/>
          <w:w w:val="105"/>
          <w:sz w:val="20"/>
        </w:rPr>
        <w:t>respect</w:t>
      </w:r>
      <w:r>
        <w:rPr>
          <w:color w:val="231F20"/>
          <w:spacing w:val="-7"/>
          <w:w w:val="105"/>
          <w:sz w:val="20"/>
        </w:rPr>
        <w:t> </w:t>
      </w:r>
      <w:r>
        <w:rPr>
          <w:color w:val="231F20"/>
          <w:w w:val="105"/>
          <w:sz w:val="20"/>
        </w:rPr>
        <w:t>to</w:t>
      </w:r>
      <w:r>
        <w:rPr>
          <w:color w:val="231F20"/>
          <w:spacing w:val="-7"/>
          <w:w w:val="105"/>
          <w:sz w:val="20"/>
        </w:rPr>
        <w:t> </w:t>
      </w:r>
      <w:r>
        <w:rPr>
          <w:color w:val="231F20"/>
          <w:spacing w:val="-4"/>
          <w:w w:val="105"/>
          <w:sz w:val="20"/>
        </w:rPr>
        <w:t>approval</w:t>
      </w:r>
      <w:r>
        <w:rPr>
          <w:color w:val="231F20"/>
          <w:spacing w:val="-6"/>
          <w:w w:val="105"/>
          <w:sz w:val="20"/>
        </w:rPr>
        <w:t> </w:t>
      </w:r>
      <w:r>
        <w:rPr>
          <w:color w:val="231F20"/>
          <w:w w:val="105"/>
          <w:sz w:val="20"/>
        </w:rPr>
        <w:t>of</w:t>
      </w:r>
      <w:r>
        <w:rPr>
          <w:color w:val="231F20"/>
          <w:spacing w:val="14"/>
          <w:w w:val="105"/>
          <w:sz w:val="20"/>
        </w:rPr>
        <w:t> </w:t>
      </w:r>
      <w:r>
        <w:rPr>
          <w:color w:val="231F20"/>
          <w:w w:val="105"/>
          <w:sz w:val="20"/>
        </w:rPr>
        <w:t>the</w:t>
      </w:r>
      <w:r>
        <w:rPr>
          <w:color w:val="231F20"/>
          <w:spacing w:val="-7"/>
          <w:w w:val="105"/>
          <w:sz w:val="20"/>
        </w:rPr>
        <w:t> </w:t>
      </w:r>
      <w:r>
        <w:rPr>
          <w:color w:val="231F20"/>
          <w:w w:val="105"/>
          <w:sz w:val="20"/>
        </w:rPr>
        <w:t>resolution</w:t>
      </w:r>
      <w:r>
        <w:rPr>
          <w:color w:val="231F20"/>
          <w:spacing w:val="-7"/>
          <w:w w:val="105"/>
          <w:sz w:val="20"/>
        </w:rPr>
        <w:t> </w:t>
      </w:r>
      <w:r>
        <w:rPr>
          <w:color w:val="231F20"/>
          <w:spacing w:val="-3"/>
          <w:w w:val="105"/>
          <w:sz w:val="20"/>
        </w:rPr>
        <w:t>for</w:t>
      </w:r>
      <w:r>
        <w:rPr>
          <w:color w:val="231F20"/>
          <w:spacing w:val="-6"/>
          <w:w w:val="105"/>
          <w:sz w:val="20"/>
        </w:rPr>
        <w:t> </w:t>
      </w:r>
      <w:r>
        <w:rPr>
          <w:color w:val="231F20"/>
          <w:w w:val="105"/>
          <w:sz w:val="20"/>
        </w:rPr>
        <w:t>each</w:t>
      </w:r>
      <w:r>
        <w:rPr>
          <w:color w:val="231F20"/>
          <w:spacing w:val="-7"/>
          <w:w w:val="105"/>
          <w:sz w:val="20"/>
        </w:rPr>
        <w:t> </w:t>
      </w:r>
      <w:r>
        <w:rPr>
          <w:color w:val="231F20"/>
          <w:w w:val="105"/>
          <w:sz w:val="20"/>
        </w:rPr>
        <w:t>of</w:t>
      </w:r>
      <w:r>
        <w:rPr>
          <w:color w:val="231F20"/>
          <w:spacing w:val="14"/>
          <w:w w:val="105"/>
          <w:sz w:val="20"/>
        </w:rPr>
        <w:t> </w:t>
      </w:r>
      <w:r>
        <w:rPr>
          <w:color w:val="231F20"/>
          <w:w w:val="105"/>
          <w:sz w:val="20"/>
        </w:rPr>
        <w:t>the</w:t>
      </w:r>
      <w:r>
        <w:rPr>
          <w:color w:val="231F20"/>
          <w:spacing w:val="-7"/>
          <w:w w:val="105"/>
          <w:sz w:val="20"/>
        </w:rPr>
        <w:t> </w:t>
      </w:r>
      <w:r>
        <w:rPr>
          <w:color w:val="231F20"/>
          <w:w w:val="105"/>
          <w:sz w:val="20"/>
        </w:rPr>
        <w:t>director-nominees);</w:t>
      </w:r>
    </w:p>
    <w:p>
      <w:pPr>
        <w:pStyle w:val="ListParagraph"/>
        <w:numPr>
          <w:ilvl w:val="2"/>
          <w:numId w:val="1"/>
        </w:numPr>
        <w:tabs>
          <w:tab w:pos="1888" w:val="left" w:leader="none"/>
          <w:tab w:pos="1889" w:val="left" w:leader="none"/>
        </w:tabs>
        <w:spacing w:line="249" w:lineRule="auto" w:before="162" w:after="0"/>
        <w:ind w:left="1888" w:right="1386" w:hanging="400"/>
        <w:jc w:val="left"/>
        <w:rPr>
          <w:sz w:val="20"/>
        </w:rPr>
      </w:pPr>
      <w:r>
        <w:rPr>
          <w:color w:val="231F20"/>
          <w:spacing w:val="-11"/>
          <w:w w:val="105"/>
          <w:sz w:val="20"/>
        </w:rPr>
        <w:t>To </w:t>
      </w:r>
      <w:r>
        <w:rPr>
          <w:color w:val="231F20"/>
          <w:w w:val="105"/>
          <w:sz w:val="20"/>
        </w:rPr>
        <w:t>elect Ido Nouberger as a member of the Board, to serve until the next </w:t>
      </w:r>
      <w:r>
        <w:rPr>
          <w:color w:val="231F20"/>
          <w:spacing w:val="-3"/>
          <w:w w:val="105"/>
          <w:sz w:val="20"/>
        </w:rPr>
        <w:t>annual </w:t>
      </w:r>
      <w:r>
        <w:rPr>
          <w:color w:val="231F20"/>
          <w:w w:val="105"/>
          <w:sz w:val="20"/>
        </w:rPr>
        <w:t>meeting of shareholders</w:t>
      </w:r>
      <w:r>
        <w:rPr>
          <w:color w:val="231F20"/>
          <w:spacing w:val="-8"/>
          <w:w w:val="105"/>
          <w:sz w:val="20"/>
        </w:rPr>
        <w:t> </w:t>
      </w:r>
      <w:r>
        <w:rPr>
          <w:color w:val="231F20"/>
          <w:w w:val="105"/>
          <w:sz w:val="20"/>
        </w:rPr>
        <w:t>and</w:t>
      </w:r>
      <w:r>
        <w:rPr>
          <w:color w:val="231F20"/>
          <w:spacing w:val="-7"/>
          <w:w w:val="105"/>
          <w:sz w:val="20"/>
        </w:rPr>
        <w:t> </w:t>
      </w:r>
      <w:r>
        <w:rPr>
          <w:color w:val="231F20"/>
          <w:w w:val="105"/>
          <w:sz w:val="20"/>
        </w:rPr>
        <w:t>until</w:t>
      </w:r>
      <w:r>
        <w:rPr>
          <w:color w:val="231F20"/>
          <w:spacing w:val="-8"/>
          <w:w w:val="105"/>
          <w:sz w:val="20"/>
        </w:rPr>
        <w:t> </w:t>
      </w:r>
      <w:r>
        <w:rPr>
          <w:color w:val="231F20"/>
          <w:w w:val="105"/>
          <w:sz w:val="20"/>
        </w:rPr>
        <w:t>his</w:t>
      </w:r>
      <w:r>
        <w:rPr>
          <w:color w:val="231F20"/>
          <w:spacing w:val="-7"/>
          <w:w w:val="105"/>
          <w:sz w:val="20"/>
        </w:rPr>
        <w:t> </w:t>
      </w:r>
      <w:r>
        <w:rPr>
          <w:color w:val="231F20"/>
          <w:w w:val="105"/>
          <w:sz w:val="20"/>
        </w:rPr>
        <w:t>successor</w:t>
      </w:r>
      <w:r>
        <w:rPr>
          <w:color w:val="231F20"/>
          <w:spacing w:val="-8"/>
          <w:w w:val="105"/>
          <w:sz w:val="20"/>
        </w:rPr>
        <w:t> </w:t>
      </w:r>
      <w:r>
        <w:rPr>
          <w:color w:val="231F20"/>
          <w:w w:val="105"/>
          <w:sz w:val="20"/>
        </w:rPr>
        <w:t>has</w:t>
      </w:r>
      <w:r>
        <w:rPr>
          <w:color w:val="231F20"/>
          <w:spacing w:val="-7"/>
          <w:w w:val="105"/>
          <w:sz w:val="20"/>
        </w:rPr>
        <w:t> </w:t>
      </w:r>
      <w:r>
        <w:rPr>
          <w:color w:val="231F20"/>
          <w:w w:val="105"/>
          <w:sz w:val="20"/>
        </w:rPr>
        <w:t>been</w:t>
      </w:r>
      <w:r>
        <w:rPr>
          <w:color w:val="231F20"/>
          <w:spacing w:val="-8"/>
          <w:w w:val="105"/>
          <w:sz w:val="20"/>
        </w:rPr>
        <w:t> </w:t>
      </w:r>
      <w:r>
        <w:rPr>
          <w:color w:val="231F20"/>
          <w:w w:val="105"/>
          <w:sz w:val="20"/>
        </w:rPr>
        <w:t>duly</w:t>
      </w:r>
      <w:r>
        <w:rPr>
          <w:color w:val="231F20"/>
          <w:spacing w:val="-7"/>
          <w:w w:val="105"/>
          <w:sz w:val="20"/>
        </w:rPr>
        <w:t> </w:t>
      </w:r>
      <w:r>
        <w:rPr>
          <w:color w:val="231F20"/>
          <w:w w:val="105"/>
          <w:sz w:val="20"/>
        </w:rPr>
        <w:t>elected</w:t>
      </w:r>
      <w:r>
        <w:rPr>
          <w:color w:val="231F20"/>
          <w:spacing w:val="-8"/>
          <w:w w:val="105"/>
          <w:sz w:val="20"/>
        </w:rPr>
        <w:t> </w:t>
      </w:r>
      <w:r>
        <w:rPr>
          <w:color w:val="231F20"/>
          <w:w w:val="105"/>
          <w:sz w:val="20"/>
        </w:rPr>
        <w:t>and</w:t>
      </w:r>
      <w:r>
        <w:rPr>
          <w:color w:val="231F20"/>
          <w:spacing w:val="-7"/>
          <w:w w:val="105"/>
          <w:sz w:val="20"/>
        </w:rPr>
        <w:t> </w:t>
      </w:r>
      <w:r>
        <w:rPr>
          <w:color w:val="231F20"/>
          <w:w w:val="105"/>
          <w:sz w:val="20"/>
        </w:rPr>
        <w:t>qualified</w:t>
      </w:r>
      <w:r>
        <w:rPr>
          <w:color w:val="231F20"/>
          <w:spacing w:val="-8"/>
          <w:w w:val="105"/>
          <w:sz w:val="20"/>
        </w:rPr>
        <w:t> </w:t>
      </w:r>
      <w:r>
        <w:rPr>
          <w:color w:val="231F20"/>
          <w:w w:val="105"/>
          <w:sz w:val="20"/>
        </w:rPr>
        <w:t>or</w:t>
      </w:r>
      <w:r>
        <w:rPr>
          <w:color w:val="231F20"/>
          <w:spacing w:val="-7"/>
          <w:w w:val="105"/>
          <w:sz w:val="20"/>
        </w:rPr>
        <w:t> </w:t>
      </w:r>
      <w:r>
        <w:rPr>
          <w:color w:val="231F20"/>
          <w:w w:val="105"/>
          <w:sz w:val="20"/>
        </w:rPr>
        <w:t>until</w:t>
      </w:r>
      <w:r>
        <w:rPr>
          <w:color w:val="231F20"/>
          <w:spacing w:val="-8"/>
          <w:w w:val="105"/>
          <w:sz w:val="20"/>
        </w:rPr>
        <w:t> </w:t>
      </w:r>
      <w:r>
        <w:rPr>
          <w:color w:val="231F20"/>
          <w:w w:val="105"/>
          <w:sz w:val="20"/>
        </w:rPr>
        <w:t>his</w:t>
      </w:r>
      <w:r>
        <w:rPr>
          <w:color w:val="231F20"/>
          <w:spacing w:val="-7"/>
          <w:w w:val="105"/>
          <w:sz w:val="20"/>
        </w:rPr>
        <w:t> </w:t>
      </w:r>
      <w:r>
        <w:rPr>
          <w:color w:val="231F20"/>
          <w:w w:val="105"/>
          <w:sz w:val="20"/>
        </w:rPr>
        <w:t>office</w:t>
      </w:r>
      <w:r>
        <w:rPr>
          <w:color w:val="231F20"/>
          <w:spacing w:val="-8"/>
          <w:w w:val="105"/>
          <w:sz w:val="20"/>
        </w:rPr>
        <w:t> </w:t>
      </w:r>
      <w:r>
        <w:rPr>
          <w:color w:val="231F20"/>
          <w:w w:val="105"/>
          <w:sz w:val="20"/>
        </w:rPr>
        <w:t>is</w:t>
      </w:r>
      <w:r>
        <w:rPr>
          <w:color w:val="231F20"/>
          <w:spacing w:val="-7"/>
          <w:w w:val="105"/>
          <w:sz w:val="20"/>
        </w:rPr>
        <w:t> </w:t>
      </w:r>
      <w:r>
        <w:rPr>
          <w:color w:val="231F20"/>
          <w:w w:val="105"/>
          <w:sz w:val="20"/>
        </w:rPr>
        <w:t>vacated in accordance with the </w:t>
      </w:r>
      <w:r>
        <w:rPr>
          <w:color w:val="231F20"/>
          <w:spacing w:val="-3"/>
          <w:w w:val="105"/>
          <w:sz w:val="20"/>
        </w:rPr>
        <w:t>Company’s </w:t>
      </w:r>
      <w:r>
        <w:rPr>
          <w:color w:val="231F20"/>
          <w:w w:val="105"/>
          <w:sz w:val="20"/>
        </w:rPr>
        <w:t>Articles of Association or the Israel Companies </w:t>
      </w:r>
      <w:r>
        <w:rPr>
          <w:color w:val="231F20"/>
          <w:spacing w:val="-4"/>
          <w:w w:val="105"/>
          <w:sz w:val="20"/>
        </w:rPr>
        <w:t>Law;</w:t>
      </w:r>
    </w:p>
    <w:p>
      <w:pPr>
        <w:pStyle w:val="ListParagraph"/>
        <w:numPr>
          <w:ilvl w:val="2"/>
          <w:numId w:val="1"/>
        </w:numPr>
        <w:tabs>
          <w:tab w:pos="1888" w:val="left" w:leader="none"/>
          <w:tab w:pos="1889" w:val="left" w:leader="none"/>
        </w:tabs>
        <w:spacing w:line="249" w:lineRule="auto" w:before="160" w:after="0"/>
        <w:ind w:left="1888" w:right="1386" w:hanging="400"/>
        <w:jc w:val="left"/>
        <w:rPr>
          <w:sz w:val="20"/>
        </w:rPr>
      </w:pPr>
      <w:r>
        <w:rPr>
          <w:color w:val="231F20"/>
          <w:spacing w:val="-11"/>
          <w:w w:val="105"/>
          <w:sz w:val="20"/>
        </w:rPr>
        <w:t>To </w:t>
      </w:r>
      <w:r>
        <w:rPr>
          <w:color w:val="231F20"/>
          <w:w w:val="105"/>
          <w:sz w:val="20"/>
        </w:rPr>
        <w:t>elect Nir </w:t>
      </w:r>
      <w:r>
        <w:rPr>
          <w:color w:val="231F20"/>
          <w:spacing w:val="-3"/>
          <w:w w:val="105"/>
          <w:sz w:val="20"/>
        </w:rPr>
        <w:t>Rotenberg </w:t>
      </w:r>
      <w:r>
        <w:rPr>
          <w:color w:val="231F20"/>
          <w:w w:val="105"/>
          <w:sz w:val="20"/>
        </w:rPr>
        <w:t>as a member of the Board, to serve until the next </w:t>
      </w:r>
      <w:r>
        <w:rPr>
          <w:color w:val="231F20"/>
          <w:spacing w:val="-3"/>
          <w:w w:val="105"/>
          <w:sz w:val="20"/>
        </w:rPr>
        <w:t>annual </w:t>
      </w:r>
      <w:r>
        <w:rPr>
          <w:color w:val="231F20"/>
          <w:w w:val="105"/>
          <w:sz w:val="20"/>
        </w:rPr>
        <w:t>meeting of shareholders</w:t>
      </w:r>
      <w:r>
        <w:rPr>
          <w:color w:val="231F20"/>
          <w:spacing w:val="-8"/>
          <w:w w:val="105"/>
          <w:sz w:val="20"/>
        </w:rPr>
        <w:t> </w:t>
      </w:r>
      <w:r>
        <w:rPr>
          <w:color w:val="231F20"/>
          <w:w w:val="105"/>
          <w:sz w:val="20"/>
        </w:rPr>
        <w:t>and</w:t>
      </w:r>
      <w:r>
        <w:rPr>
          <w:color w:val="231F20"/>
          <w:spacing w:val="-7"/>
          <w:w w:val="105"/>
          <w:sz w:val="20"/>
        </w:rPr>
        <w:t> </w:t>
      </w:r>
      <w:r>
        <w:rPr>
          <w:color w:val="231F20"/>
          <w:w w:val="105"/>
          <w:sz w:val="20"/>
        </w:rPr>
        <w:t>until</w:t>
      </w:r>
      <w:r>
        <w:rPr>
          <w:color w:val="231F20"/>
          <w:spacing w:val="-8"/>
          <w:w w:val="105"/>
          <w:sz w:val="20"/>
        </w:rPr>
        <w:t> </w:t>
      </w:r>
      <w:r>
        <w:rPr>
          <w:color w:val="231F20"/>
          <w:w w:val="105"/>
          <w:sz w:val="20"/>
        </w:rPr>
        <w:t>his</w:t>
      </w:r>
      <w:r>
        <w:rPr>
          <w:color w:val="231F20"/>
          <w:spacing w:val="-7"/>
          <w:w w:val="105"/>
          <w:sz w:val="20"/>
        </w:rPr>
        <w:t> </w:t>
      </w:r>
      <w:r>
        <w:rPr>
          <w:color w:val="231F20"/>
          <w:w w:val="105"/>
          <w:sz w:val="20"/>
        </w:rPr>
        <w:t>successor</w:t>
      </w:r>
      <w:r>
        <w:rPr>
          <w:color w:val="231F20"/>
          <w:spacing w:val="-8"/>
          <w:w w:val="105"/>
          <w:sz w:val="20"/>
        </w:rPr>
        <w:t> </w:t>
      </w:r>
      <w:r>
        <w:rPr>
          <w:color w:val="231F20"/>
          <w:w w:val="105"/>
          <w:sz w:val="20"/>
        </w:rPr>
        <w:t>has</w:t>
      </w:r>
      <w:r>
        <w:rPr>
          <w:color w:val="231F20"/>
          <w:spacing w:val="-7"/>
          <w:w w:val="105"/>
          <w:sz w:val="20"/>
        </w:rPr>
        <w:t> </w:t>
      </w:r>
      <w:r>
        <w:rPr>
          <w:color w:val="231F20"/>
          <w:w w:val="105"/>
          <w:sz w:val="20"/>
        </w:rPr>
        <w:t>been</w:t>
      </w:r>
      <w:r>
        <w:rPr>
          <w:color w:val="231F20"/>
          <w:spacing w:val="-8"/>
          <w:w w:val="105"/>
          <w:sz w:val="20"/>
        </w:rPr>
        <w:t> </w:t>
      </w:r>
      <w:r>
        <w:rPr>
          <w:color w:val="231F20"/>
          <w:w w:val="105"/>
          <w:sz w:val="20"/>
        </w:rPr>
        <w:t>duly</w:t>
      </w:r>
      <w:r>
        <w:rPr>
          <w:color w:val="231F20"/>
          <w:spacing w:val="-7"/>
          <w:w w:val="105"/>
          <w:sz w:val="20"/>
        </w:rPr>
        <w:t> </w:t>
      </w:r>
      <w:r>
        <w:rPr>
          <w:color w:val="231F20"/>
          <w:w w:val="105"/>
          <w:sz w:val="20"/>
        </w:rPr>
        <w:t>elected</w:t>
      </w:r>
      <w:r>
        <w:rPr>
          <w:color w:val="231F20"/>
          <w:spacing w:val="-8"/>
          <w:w w:val="105"/>
          <w:sz w:val="20"/>
        </w:rPr>
        <w:t> </w:t>
      </w:r>
      <w:r>
        <w:rPr>
          <w:color w:val="231F20"/>
          <w:w w:val="105"/>
          <w:sz w:val="20"/>
        </w:rPr>
        <w:t>and</w:t>
      </w:r>
      <w:r>
        <w:rPr>
          <w:color w:val="231F20"/>
          <w:spacing w:val="-7"/>
          <w:w w:val="105"/>
          <w:sz w:val="20"/>
        </w:rPr>
        <w:t> </w:t>
      </w:r>
      <w:r>
        <w:rPr>
          <w:color w:val="231F20"/>
          <w:w w:val="105"/>
          <w:sz w:val="20"/>
        </w:rPr>
        <w:t>qualified</w:t>
      </w:r>
      <w:r>
        <w:rPr>
          <w:color w:val="231F20"/>
          <w:spacing w:val="-8"/>
          <w:w w:val="105"/>
          <w:sz w:val="20"/>
        </w:rPr>
        <w:t> </w:t>
      </w:r>
      <w:r>
        <w:rPr>
          <w:color w:val="231F20"/>
          <w:w w:val="105"/>
          <w:sz w:val="20"/>
        </w:rPr>
        <w:t>or</w:t>
      </w:r>
      <w:r>
        <w:rPr>
          <w:color w:val="231F20"/>
          <w:spacing w:val="-7"/>
          <w:w w:val="105"/>
          <w:sz w:val="20"/>
        </w:rPr>
        <w:t> </w:t>
      </w:r>
      <w:r>
        <w:rPr>
          <w:color w:val="231F20"/>
          <w:w w:val="105"/>
          <w:sz w:val="20"/>
        </w:rPr>
        <w:t>until</w:t>
      </w:r>
      <w:r>
        <w:rPr>
          <w:color w:val="231F20"/>
          <w:spacing w:val="-8"/>
          <w:w w:val="105"/>
          <w:sz w:val="20"/>
        </w:rPr>
        <w:t> </w:t>
      </w:r>
      <w:r>
        <w:rPr>
          <w:color w:val="231F20"/>
          <w:w w:val="105"/>
          <w:sz w:val="20"/>
        </w:rPr>
        <w:t>his</w:t>
      </w:r>
      <w:r>
        <w:rPr>
          <w:color w:val="231F20"/>
          <w:spacing w:val="-7"/>
          <w:w w:val="105"/>
          <w:sz w:val="20"/>
        </w:rPr>
        <w:t> </w:t>
      </w:r>
      <w:r>
        <w:rPr>
          <w:color w:val="231F20"/>
          <w:w w:val="105"/>
          <w:sz w:val="20"/>
        </w:rPr>
        <w:t>office</w:t>
      </w:r>
      <w:r>
        <w:rPr>
          <w:color w:val="231F20"/>
          <w:spacing w:val="-8"/>
          <w:w w:val="105"/>
          <w:sz w:val="20"/>
        </w:rPr>
        <w:t> </w:t>
      </w:r>
      <w:r>
        <w:rPr>
          <w:color w:val="231F20"/>
          <w:w w:val="105"/>
          <w:sz w:val="20"/>
        </w:rPr>
        <w:t>is</w:t>
      </w:r>
      <w:r>
        <w:rPr>
          <w:color w:val="231F20"/>
          <w:spacing w:val="-7"/>
          <w:w w:val="105"/>
          <w:sz w:val="20"/>
        </w:rPr>
        <w:t> </w:t>
      </w:r>
      <w:r>
        <w:rPr>
          <w:color w:val="231F20"/>
          <w:w w:val="105"/>
          <w:sz w:val="20"/>
        </w:rPr>
        <w:t>vacated in accordance with the </w:t>
      </w:r>
      <w:r>
        <w:rPr>
          <w:color w:val="231F20"/>
          <w:spacing w:val="-3"/>
          <w:w w:val="105"/>
          <w:sz w:val="20"/>
        </w:rPr>
        <w:t>Company’s </w:t>
      </w:r>
      <w:r>
        <w:rPr>
          <w:color w:val="231F20"/>
          <w:w w:val="105"/>
          <w:sz w:val="20"/>
        </w:rPr>
        <w:t>Articles of Association or the Israel Companies </w:t>
      </w:r>
      <w:r>
        <w:rPr>
          <w:color w:val="231F20"/>
          <w:spacing w:val="-4"/>
          <w:w w:val="105"/>
          <w:sz w:val="20"/>
        </w:rPr>
        <w:t>Law;</w:t>
      </w:r>
    </w:p>
    <w:p>
      <w:pPr>
        <w:pStyle w:val="ListParagraph"/>
        <w:numPr>
          <w:ilvl w:val="2"/>
          <w:numId w:val="1"/>
        </w:numPr>
        <w:tabs>
          <w:tab w:pos="1888" w:val="left" w:leader="none"/>
          <w:tab w:pos="1889" w:val="left" w:leader="none"/>
        </w:tabs>
        <w:spacing w:line="249" w:lineRule="auto" w:before="161" w:after="0"/>
        <w:ind w:left="1888" w:right="1984" w:hanging="400"/>
        <w:jc w:val="left"/>
        <w:rPr>
          <w:sz w:val="20"/>
        </w:rPr>
      </w:pPr>
      <w:r>
        <w:rPr>
          <w:color w:val="231F20"/>
          <w:spacing w:val="-11"/>
          <w:w w:val="105"/>
          <w:sz w:val="20"/>
        </w:rPr>
        <w:t>To </w:t>
      </w:r>
      <w:r>
        <w:rPr>
          <w:color w:val="231F20"/>
          <w:spacing w:val="-4"/>
          <w:w w:val="105"/>
          <w:sz w:val="20"/>
        </w:rPr>
        <w:t>approve </w:t>
      </w:r>
      <w:r>
        <w:rPr>
          <w:color w:val="231F20"/>
          <w:w w:val="105"/>
          <w:sz w:val="20"/>
        </w:rPr>
        <w:t>the </w:t>
      </w:r>
      <w:r>
        <w:rPr>
          <w:color w:val="231F20"/>
          <w:spacing w:val="-3"/>
          <w:w w:val="105"/>
          <w:sz w:val="20"/>
        </w:rPr>
        <w:t>Company’s </w:t>
      </w:r>
      <w:r>
        <w:rPr>
          <w:color w:val="231F20"/>
          <w:w w:val="105"/>
          <w:sz w:val="20"/>
        </w:rPr>
        <w:t>Compensation Policy </w:t>
      </w:r>
      <w:r>
        <w:rPr>
          <w:color w:val="231F20"/>
          <w:spacing w:val="-3"/>
          <w:w w:val="105"/>
          <w:sz w:val="20"/>
        </w:rPr>
        <w:t>for </w:t>
      </w:r>
      <w:r>
        <w:rPr>
          <w:color w:val="231F20"/>
          <w:w w:val="105"/>
          <w:sz w:val="20"/>
        </w:rPr>
        <w:t>officers and directors </w:t>
      </w:r>
      <w:r>
        <w:rPr>
          <w:color w:val="231F20"/>
          <w:spacing w:val="-3"/>
          <w:w w:val="105"/>
          <w:sz w:val="20"/>
        </w:rPr>
        <w:t>for </w:t>
      </w:r>
      <w:r>
        <w:rPr>
          <w:color w:val="231F20"/>
          <w:w w:val="105"/>
          <w:sz w:val="20"/>
        </w:rPr>
        <w:t>an additional period of three years from the date of the Meeting, with certain changes</w:t>
      </w:r>
      <w:r>
        <w:rPr>
          <w:color w:val="231F20"/>
          <w:spacing w:val="21"/>
          <w:w w:val="105"/>
          <w:sz w:val="20"/>
        </w:rPr>
        <w:t> </w:t>
      </w:r>
      <w:r>
        <w:rPr>
          <w:color w:val="231F20"/>
          <w:w w:val="105"/>
          <w:sz w:val="20"/>
        </w:rPr>
        <w:t>thereto;</w:t>
      </w:r>
    </w:p>
    <w:p>
      <w:pPr>
        <w:pStyle w:val="ListParagraph"/>
        <w:numPr>
          <w:ilvl w:val="2"/>
          <w:numId w:val="1"/>
        </w:numPr>
        <w:tabs>
          <w:tab w:pos="1888" w:val="left" w:leader="none"/>
          <w:tab w:pos="1889" w:val="left" w:leader="none"/>
        </w:tabs>
        <w:spacing w:line="249" w:lineRule="auto" w:before="160" w:after="0"/>
        <w:ind w:left="1888" w:right="1387" w:hanging="400"/>
        <w:jc w:val="left"/>
        <w:rPr>
          <w:sz w:val="20"/>
        </w:rPr>
      </w:pPr>
      <w:r>
        <w:rPr>
          <w:color w:val="231F20"/>
          <w:spacing w:val="-11"/>
          <w:w w:val="105"/>
          <w:sz w:val="20"/>
        </w:rPr>
        <w:t>To </w:t>
      </w:r>
      <w:r>
        <w:rPr>
          <w:color w:val="231F20"/>
          <w:spacing w:val="-4"/>
          <w:w w:val="105"/>
          <w:sz w:val="20"/>
        </w:rPr>
        <w:t>approve </w:t>
      </w:r>
      <w:r>
        <w:rPr>
          <w:color w:val="231F20"/>
          <w:w w:val="105"/>
          <w:sz w:val="20"/>
        </w:rPr>
        <w:t>the reappointment of </w:t>
      </w:r>
      <w:r>
        <w:rPr>
          <w:color w:val="231F20"/>
          <w:spacing w:val="-4"/>
          <w:w w:val="105"/>
          <w:sz w:val="20"/>
        </w:rPr>
        <w:t>Kost Forer </w:t>
      </w:r>
      <w:r>
        <w:rPr>
          <w:color w:val="231F20"/>
          <w:spacing w:val="-5"/>
          <w:w w:val="105"/>
          <w:sz w:val="20"/>
        </w:rPr>
        <w:t>Gabbay </w:t>
      </w:r>
      <w:r>
        <w:rPr>
          <w:color w:val="231F20"/>
          <w:w w:val="105"/>
          <w:sz w:val="20"/>
        </w:rPr>
        <w:t>&amp; </w:t>
      </w:r>
      <w:r>
        <w:rPr>
          <w:color w:val="231F20"/>
          <w:spacing w:val="-3"/>
          <w:w w:val="105"/>
          <w:sz w:val="20"/>
        </w:rPr>
        <w:t>Kasierer, </w:t>
      </w:r>
      <w:r>
        <w:rPr>
          <w:color w:val="231F20"/>
          <w:w w:val="105"/>
          <w:sz w:val="20"/>
        </w:rPr>
        <w:t>a member of Ernst &amp; </w:t>
      </w:r>
      <w:r>
        <w:rPr>
          <w:color w:val="231F20"/>
          <w:spacing w:val="-6"/>
          <w:w w:val="105"/>
          <w:sz w:val="20"/>
        </w:rPr>
        <w:t>Young </w:t>
      </w:r>
      <w:r>
        <w:rPr>
          <w:color w:val="231F20"/>
          <w:w w:val="105"/>
          <w:sz w:val="20"/>
        </w:rPr>
        <w:t>Global, as the </w:t>
      </w:r>
      <w:r>
        <w:rPr>
          <w:color w:val="231F20"/>
          <w:spacing w:val="-3"/>
          <w:w w:val="105"/>
          <w:sz w:val="20"/>
        </w:rPr>
        <w:t>Company’s </w:t>
      </w:r>
      <w:r>
        <w:rPr>
          <w:color w:val="231F20"/>
          <w:w w:val="105"/>
          <w:sz w:val="20"/>
        </w:rPr>
        <w:t>independent registered public accounting firm </w:t>
      </w:r>
      <w:r>
        <w:rPr>
          <w:color w:val="231F20"/>
          <w:spacing w:val="-3"/>
          <w:w w:val="105"/>
          <w:sz w:val="20"/>
        </w:rPr>
        <w:t>for </w:t>
      </w:r>
      <w:r>
        <w:rPr>
          <w:color w:val="231F20"/>
          <w:w w:val="105"/>
          <w:sz w:val="20"/>
        </w:rPr>
        <w:t>the year ending December 31, 2023 and until the next </w:t>
      </w:r>
      <w:r>
        <w:rPr>
          <w:color w:val="231F20"/>
          <w:spacing w:val="-3"/>
          <w:w w:val="105"/>
          <w:sz w:val="20"/>
        </w:rPr>
        <w:t>annual </w:t>
      </w:r>
      <w:r>
        <w:rPr>
          <w:color w:val="231F20"/>
          <w:w w:val="105"/>
          <w:sz w:val="20"/>
        </w:rPr>
        <w:t>meeting of shareholders, and to authorize the Board, upon recommendation of the audit committee, to fix the remuneration of said independent registered public accounting</w:t>
      </w:r>
      <w:r>
        <w:rPr>
          <w:color w:val="231F20"/>
          <w:spacing w:val="-11"/>
          <w:w w:val="105"/>
          <w:sz w:val="20"/>
        </w:rPr>
        <w:t> </w:t>
      </w:r>
      <w:r>
        <w:rPr>
          <w:color w:val="231F20"/>
          <w:w w:val="105"/>
          <w:sz w:val="20"/>
        </w:rPr>
        <w:t>firm;</w:t>
      </w:r>
    </w:p>
    <w:p>
      <w:pPr>
        <w:pStyle w:val="ListParagraph"/>
        <w:numPr>
          <w:ilvl w:val="2"/>
          <w:numId w:val="1"/>
        </w:numPr>
        <w:tabs>
          <w:tab w:pos="1888" w:val="left" w:leader="none"/>
          <w:tab w:pos="1889" w:val="left" w:leader="none"/>
        </w:tabs>
        <w:spacing w:line="249" w:lineRule="auto" w:before="161" w:after="0"/>
        <w:ind w:left="1888" w:right="1601" w:hanging="400"/>
        <w:jc w:val="left"/>
        <w:rPr>
          <w:sz w:val="20"/>
        </w:rPr>
      </w:pPr>
      <w:r>
        <w:rPr>
          <w:color w:val="231F20"/>
          <w:spacing w:val="-11"/>
          <w:w w:val="105"/>
          <w:sz w:val="20"/>
        </w:rPr>
        <w:t>To </w:t>
      </w:r>
      <w:r>
        <w:rPr>
          <w:color w:val="231F20"/>
          <w:w w:val="105"/>
          <w:sz w:val="20"/>
        </w:rPr>
        <w:t>report on the business of the Company </w:t>
      </w:r>
      <w:r>
        <w:rPr>
          <w:color w:val="231F20"/>
          <w:spacing w:val="-3"/>
          <w:w w:val="105"/>
          <w:sz w:val="20"/>
        </w:rPr>
        <w:t>for </w:t>
      </w:r>
      <w:r>
        <w:rPr>
          <w:color w:val="231F20"/>
          <w:w w:val="105"/>
          <w:sz w:val="20"/>
        </w:rPr>
        <w:t>the year ended December 31, 2022 and review the 2022 financial statements;</w:t>
      </w:r>
      <w:r>
        <w:rPr>
          <w:color w:val="231F20"/>
          <w:spacing w:val="-11"/>
          <w:w w:val="105"/>
          <w:sz w:val="20"/>
        </w:rPr>
        <w:t> </w:t>
      </w:r>
      <w:r>
        <w:rPr>
          <w:color w:val="231F20"/>
          <w:w w:val="105"/>
          <w:sz w:val="20"/>
        </w:rPr>
        <w:t>and</w:t>
      </w:r>
    </w:p>
    <w:p>
      <w:pPr>
        <w:pStyle w:val="ListParagraph"/>
        <w:numPr>
          <w:ilvl w:val="2"/>
          <w:numId w:val="1"/>
        </w:numPr>
        <w:tabs>
          <w:tab w:pos="1888" w:val="left" w:leader="none"/>
          <w:tab w:pos="1889" w:val="left" w:leader="none"/>
        </w:tabs>
        <w:spacing w:line="249" w:lineRule="auto" w:before="160" w:after="0"/>
        <w:ind w:left="1888" w:right="1784" w:hanging="400"/>
        <w:jc w:val="left"/>
        <w:rPr>
          <w:sz w:val="20"/>
        </w:rPr>
      </w:pPr>
      <w:r>
        <w:rPr>
          <w:color w:val="231F20"/>
          <w:spacing w:val="-11"/>
          <w:w w:val="110"/>
          <w:sz w:val="20"/>
        </w:rPr>
        <w:t>To</w:t>
      </w:r>
      <w:r>
        <w:rPr>
          <w:color w:val="231F20"/>
          <w:spacing w:val="-21"/>
          <w:w w:val="110"/>
          <w:sz w:val="20"/>
        </w:rPr>
        <w:t> </w:t>
      </w:r>
      <w:r>
        <w:rPr>
          <w:color w:val="231F20"/>
          <w:w w:val="110"/>
          <w:sz w:val="20"/>
        </w:rPr>
        <w:t>act</w:t>
      </w:r>
      <w:r>
        <w:rPr>
          <w:color w:val="231F20"/>
          <w:spacing w:val="-20"/>
          <w:w w:val="110"/>
          <w:sz w:val="20"/>
        </w:rPr>
        <w:t> </w:t>
      </w:r>
      <w:r>
        <w:rPr>
          <w:color w:val="231F20"/>
          <w:w w:val="110"/>
          <w:sz w:val="20"/>
        </w:rPr>
        <w:t>upon</w:t>
      </w:r>
      <w:r>
        <w:rPr>
          <w:color w:val="231F20"/>
          <w:spacing w:val="-20"/>
          <w:w w:val="110"/>
          <w:sz w:val="20"/>
        </w:rPr>
        <w:t> </w:t>
      </w:r>
      <w:r>
        <w:rPr>
          <w:color w:val="231F20"/>
          <w:spacing w:val="-3"/>
          <w:w w:val="110"/>
          <w:sz w:val="20"/>
        </w:rPr>
        <w:t>any</w:t>
      </w:r>
      <w:r>
        <w:rPr>
          <w:color w:val="231F20"/>
          <w:spacing w:val="-20"/>
          <w:w w:val="110"/>
          <w:sz w:val="20"/>
        </w:rPr>
        <w:t> </w:t>
      </w:r>
      <w:r>
        <w:rPr>
          <w:color w:val="231F20"/>
          <w:w w:val="110"/>
          <w:sz w:val="20"/>
        </w:rPr>
        <w:t>other</w:t>
      </w:r>
      <w:r>
        <w:rPr>
          <w:color w:val="231F20"/>
          <w:spacing w:val="-21"/>
          <w:w w:val="110"/>
          <w:sz w:val="20"/>
        </w:rPr>
        <w:t> </w:t>
      </w:r>
      <w:r>
        <w:rPr>
          <w:color w:val="231F20"/>
          <w:w w:val="110"/>
          <w:sz w:val="20"/>
        </w:rPr>
        <w:t>matters</w:t>
      </w:r>
      <w:r>
        <w:rPr>
          <w:color w:val="231F20"/>
          <w:spacing w:val="-20"/>
          <w:w w:val="110"/>
          <w:sz w:val="20"/>
        </w:rPr>
        <w:t> </w:t>
      </w:r>
      <w:r>
        <w:rPr>
          <w:color w:val="231F20"/>
          <w:w w:val="110"/>
          <w:sz w:val="20"/>
        </w:rPr>
        <w:t>that</w:t>
      </w:r>
      <w:r>
        <w:rPr>
          <w:color w:val="231F20"/>
          <w:spacing w:val="-20"/>
          <w:w w:val="110"/>
          <w:sz w:val="20"/>
        </w:rPr>
        <w:t> </w:t>
      </w:r>
      <w:r>
        <w:rPr>
          <w:color w:val="231F20"/>
          <w:spacing w:val="-3"/>
          <w:w w:val="110"/>
          <w:sz w:val="20"/>
        </w:rPr>
        <w:t>may</w:t>
      </w:r>
      <w:r>
        <w:rPr>
          <w:color w:val="231F20"/>
          <w:spacing w:val="-20"/>
          <w:w w:val="110"/>
          <w:sz w:val="20"/>
        </w:rPr>
        <w:t> </w:t>
      </w:r>
      <w:r>
        <w:rPr>
          <w:color w:val="231F20"/>
          <w:w w:val="110"/>
          <w:sz w:val="20"/>
        </w:rPr>
        <w:t>properly</w:t>
      </w:r>
      <w:r>
        <w:rPr>
          <w:color w:val="231F20"/>
          <w:spacing w:val="-20"/>
          <w:w w:val="110"/>
          <w:sz w:val="20"/>
        </w:rPr>
        <w:t> </w:t>
      </w:r>
      <w:r>
        <w:rPr>
          <w:color w:val="231F20"/>
          <w:w w:val="110"/>
          <w:sz w:val="20"/>
        </w:rPr>
        <w:t>come</w:t>
      </w:r>
      <w:r>
        <w:rPr>
          <w:color w:val="231F20"/>
          <w:spacing w:val="-21"/>
          <w:w w:val="110"/>
          <w:sz w:val="20"/>
        </w:rPr>
        <w:t> </w:t>
      </w:r>
      <w:r>
        <w:rPr>
          <w:color w:val="231F20"/>
          <w:w w:val="110"/>
          <w:sz w:val="20"/>
        </w:rPr>
        <w:t>before</w:t>
      </w:r>
      <w:r>
        <w:rPr>
          <w:color w:val="231F20"/>
          <w:spacing w:val="-20"/>
          <w:w w:val="110"/>
          <w:sz w:val="20"/>
        </w:rPr>
        <w:t> </w:t>
      </w:r>
      <w:r>
        <w:rPr>
          <w:color w:val="231F20"/>
          <w:w w:val="110"/>
          <w:sz w:val="20"/>
        </w:rPr>
        <w:t>the</w:t>
      </w:r>
      <w:r>
        <w:rPr>
          <w:color w:val="231F20"/>
          <w:spacing w:val="-20"/>
          <w:w w:val="110"/>
          <w:sz w:val="20"/>
        </w:rPr>
        <w:t> </w:t>
      </w:r>
      <w:r>
        <w:rPr>
          <w:color w:val="231F20"/>
          <w:spacing w:val="-3"/>
          <w:w w:val="110"/>
          <w:sz w:val="20"/>
        </w:rPr>
        <w:t>Annual</w:t>
      </w:r>
      <w:r>
        <w:rPr>
          <w:color w:val="231F20"/>
          <w:spacing w:val="-20"/>
          <w:w w:val="110"/>
          <w:sz w:val="20"/>
        </w:rPr>
        <w:t> </w:t>
      </w:r>
      <w:r>
        <w:rPr>
          <w:color w:val="231F20"/>
          <w:w w:val="110"/>
          <w:sz w:val="20"/>
        </w:rPr>
        <w:t>and</w:t>
      </w:r>
      <w:r>
        <w:rPr>
          <w:color w:val="231F20"/>
          <w:spacing w:val="-20"/>
          <w:w w:val="110"/>
          <w:sz w:val="20"/>
        </w:rPr>
        <w:t> </w:t>
      </w:r>
      <w:r>
        <w:rPr>
          <w:color w:val="231F20"/>
          <w:w w:val="110"/>
          <w:sz w:val="20"/>
        </w:rPr>
        <w:t>Special</w:t>
      </w:r>
      <w:r>
        <w:rPr>
          <w:color w:val="231F20"/>
          <w:spacing w:val="-21"/>
          <w:w w:val="110"/>
          <w:sz w:val="20"/>
        </w:rPr>
        <w:t> </w:t>
      </w:r>
      <w:r>
        <w:rPr>
          <w:color w:val="231F20"/>
          <w:w w:val="110"/>
          <w:sz w:val="20"/>
        </w:rPr>
        <w:t>General Meeting</w:t>
      </w:r>
      <w:r>
        <w:rPr>
          <w:color w:val="231F20"/>
          <w:spacing w:val="-8"/>
          <w:w w:val="110"/>
          <w:sz w:val="20"/>
        </w:rPr>
        <w:t> </w:t>
      </w:r>
      <w:r>
        <w:rPr>
          <w:color w:val="231F20"/>
          <w:w w:val="110"/>
          <w:sz w:val="20"/>
        </w:rPr>
        <w:t>or</w:t>
      </w:r>
      <w:r>
        <w:rPr>
          <w:color w:val="231F20"/>
          <w:spacing w:val="-7"/>
          <w:w w:val="110"/>
          <w:sz w:val="20"/>
        </w:rPr>
        <w:t> </w:t>
      </w:r>
      <w:r>
        <w:rPr>
          <w:color w:val="231F20"/>
          <w:spacing w:val="-3"/>
          <w:w w:val="110"/>
          <w:sz w:val="20"/>
        </w:rPr>
        <w:t>any</w:t>
      </w:r>
      <w:r>
        <w:rPr>
          <w:color w:val="231F20"/>
          <w:spacing w:val="-8"/>
          <w:w w:val="110"/>
          <w:sz w:val="20"/>
        </w:rPr>
        <w:t> </w:t>
      </w:r>
      <w:r>
        <w:rPr>
          <w:color w:val="231F20"/>
          <w:w w:val="110"/>
          <w:sz w:val="20"/>
        </w:rPr>
        <w:t>adjournment</w:t>
      </w:r>
      <w:r>
        <w:rPr>
          <w:color w:val="231F20"/>
          <w:spacing w:val="-7"/>
          <w:w w:val="110"/>
          <w:sz w:val="20"/>
        </w:rPr>
        <w:t> </w:t>
      </w:r>
      <w:r>
        <w:rPr>
          <w:color w:val="231F20"/>
          <w:w w:val="110"/>
          <w:sz w:val="20"/>
        </w:rPr>
        <w:t>or</w:t>
      </w:r>
      <w:r>
        <w:rPr>
          <w:color w:val="231F20"/>
          <w:spacing w:val="-7"/>
          <w:w w:val="110"/>
          <w:sz w:val="20"/>
        </w:rPr>
        <w:t> </w:t>
      </w:r>
      <w:r>
        <w:rPr>
          <w:color w:val="231F20"/>
          <w:w w:val="110"/>
          <w:sz w:val="20"/>
        </w:rPr>
        <w:t>postponement</w:t>
      </w:r>
      <w:r>
        <w:rPr>
          <w:color w:val="231F20"/>
          <w:spacing w:val="-8"/>
          <w:w w:val="110"/>
          <w:sz w:val="20"/>
        </w:rPr>
        <w:t> </w:t>
      </w:r>
      <w:r>
        <w:rPr>
          <w:color w:val="231F20"/>
          <w:w w:val="110"/>
          <w:sz w:val="20"/>
        </w:rPr>
        <w:t>thereof.</w:t>
      </w:r>
    </w:p>
    <w:p>
      <w:pPr>
        <w:pStyle w:val="BodyText"/>
        <w:spacing w:line="249" w:lineRule="auto" w:before="161"/>
        <w:ind w:left="1090" w:right="1322" w:firstLine="399"/>
      </w:pPr>
      <w:r>
        <w:rPr>
          <w:color w:val="231F20"/>
          <w:w w:val="105"/>
        </w:rPr>
        <w:t>The foregoing proposals are described in detail in the attached proxy statement (the “Proxy Statement”) either enclosed herewith or made available by us, which we urge you to read in its entirety.</w:t>
      </w:r>
    </w:p>
    <w:p>
      <w:pPr>
        <w:pStyle w:val="BodyText"/>
        <w:spacing w:before="160"/>
        <w:ind w:left="1489"/>
      </w:pPr>
      <w:r>
        <w:rPr>
          <w:color w:val="231F20"/>
          <w:w w:val="105"/>
        </w:rPr>
        <w:t>Our Board unanimously recommends that you vote “FOR” each of the above proposals.</w:t>
      </w:r>
    </w:p>
    <w:p>
      <w:pPr>
        <w:pStyle w:val="BodyText"/>
        <w:spacing w:line="249" w:lineRule="auto" w:before="169"/>
        <w:ind w:left="1090" w:right="1568" w:firstLine="399"/>
      </w:pPr>
      <w:r>
        <w:rPr>
          <w:color w:val="231F20"/>
          <w:w w:val="110"/>
        </w:rPr>
        <w:t>Only</w:t>
      </w:r>
      <w:r>
        <w:rPr>
          <w:color w:val="231F20"/>
          <w:spacing w:val="-17"/>
          <w:w w:val="110"/>
        </w:rPr>
        <w:t> </w:t>
      </w:r>
      <w:r>
        <w:rPr>
          <w:color w:val="231F20"/>
          <w:w w:val="110"/>
        </w:rPr>
        <w:t>holders</w:t>
      </w:r>
      <w:r>
        <w:rPr>
          <w:color w:val="231F20"/>
          <w:spacing w:val="-16"/>
          <w:w w:val="110"/>
        </w:rPr>
        <w:t> </w:t>
      </w:r>
      <w:r>
        <w:rPr>
          <w:color w:val="231F20"/>
          <w:w w:val="110"/>
        </w:rPr>
        <w:t>of</w:t>
      </w:r>
      <w:r>
        <w:rPr>
          <w:color w:val="231F20"/>
          <w:spacing w:val="-2"/>
          <w:w w:val="110"/>
        </w:rPr>
        <w:t> </w:t>
      </w:r>
      <w:r>
        <w:rPr>
          <w:color w:val="231F20"/>
          <w:w w:val="110"/>
        </w:rPr>
        <w:t>our</w:t>
      </w:r>
      <w:r>
        <w:rPr>
          <w:color w:val="231F20"/>
          <w:spacing w:val="-16"/>
          <w:w w:val="110"/>
        </w:rPr>
        <w:t> </w:t>
      </w:r>
      <w:r>
        <w:rPr>
          <w:color w:val="231F20"/>
          <w:w w:val="110"/>
        </w:rPr>
        <w:t>ADSs</w:t>
      </w:r>
      <w:r>
        <w:rPr>
          <w:color w:val="231F20"/>
          <w:spacing w:val="-17"/>
          <w:w w:val="110"/>
        </w:rPr>
        <w:t> </w:t>
      </w:r>
      <w:r>
        <w:rPr>
          <w:color w:val="231F20"/>
          <w:w w:val="110"/>
        </w:rPr>
        <w:t>and</w:t>
      </w:r>
      <w:r>
        <w:rPr>
          <w:color w:val="231F20"/>
          <w:spacing w:val="-16"/>
          <w:w w:val="110"/>
        </w:rPr>
        <w:t> </w:t>
      </w:r>
      <w:r>
        <w:rPr>
          <w:color w:val="231F20"/>
          <w:w w:val="110"/>
        </w:rPr>
        <w:t>holders</w:t>
      </w:r>
      <w:r>
        <w:rPr>
          <w:color w:val="231F20"/>
          <w:spacing w:val="-17"/>
          <w:w w:val="110"/>
        </w:rPr>
        <w:t> </w:t>
      </w:r>
      <w:r>
        <w:rPr>
          <w:color w:val="231F20"/>
          <w:w w:val="110"/>
        </w:rPr>
        <w:t>of</w:t>
      </w:r>
      <w:r>
        <w:rPr>
          <w:color w:val="231F20"/>
          <w:spacing w:val="-1"/>
          <w:w w:val="110"/>
        </w:rPr>
        <w:t> </w:t>
      </w:r>
      <w:r>
        <w:rPr>
          <w:color w:val="231F20"/>
          <w:w w:val="110"/>
        </w:rPr>
        <w:t>our</w:t>
      </w:r>
      <w:r>
        <w:rPr>
          <w:color w:val="231F20"/>
          <w:spacing w:val="-16"/>
          <w:w w:val="110"/>
        </w:rPr>
        <w:t> </w:t>
      </w:r>
      <w:r>
        <w:rPr>
          <w:color w:val="231F20"/>
          <w:w w:val="110"/>
        </w:rPr>
        <w:t>ordinary</w:t>
      </w:r>
      <w:r>
        <w:rPr>
          <w:color w:val="231F20"/>
          <w:spacing w:val="-17"/>
          <w:w w:val="110"/>
        </w:rPr>
        <w:t> </w:t>
      </w:r>
      <w:r>
        <w:rPr>
          <w:color w:val="231F20"/>
          <w:w w:val="110"/>
        </w:rPr>
        <w:t>shares</w:t>
      </w:r>
      <w:r>
        <w:rPr>
          <w:color w:val="231F20"/>
          <w:spacing w:val="-16"/>
          <w:w w:val="110"/>
        </w:rPr>
        <w:t> </w:t>
      </w:r>
      <w:r>
        <w:rPr>
          <w:color w:val="231F20"/>
          <w:spacing w:val="-3"/>
          <w:w w:val="110"/>
        </w:rPr>
        <w:t>at</w:t>
      </w:r>
      <w:r>
        <w:rPr>
          <w:color w:val="231F20"/>
          <w:spacing w:val="-17"/>
          <w:w w:val="110"/>
        </w:rPr>
        <w:t> </w:t>
      </w:r>
      <w:r>
        <w:rPr>
          <w:color w:val="231F20"/>
          <w:w w:val="110"/>
        </w:rPr>
        <w:t>the</w:t>
      </w:r>
      <w:r>
        <w:rPr>
          <w:color w:val="231F20"/>
          <w:spacing w:val="-16"/>
          <w:w w:val="110"/>
        </w:rPr>
        <w:t> </w:t>
      </w:r>
      <w:r>
        <w:rPr>
          <w:color w:val="231F20"/>
          <w:w w:val="110"/>
        </w:rPr>
        <w:t>close</w:t>
      </w:r>
      <w:r>
        <w:rPr>
          <w:color w:val="231F20"/>
          <w:spacing w:val="-17"/>
          <w:w w:val="110"/>
        </w:rPr>
        <w:t> </w:t>
      </w:r>
      <w:r>
        <w:rPr>
          <w:color w:val="231F20"/>
          <w:w w:val="110"/>
        </w:rPr>
        <w:t>of</w:t>
      </w:r>
      <w:r>
        <w:rPr>
          <w:color w:val="231F20"/>
          <w:spacing w:val="-1"/>
          <w:w w:val="110"/>
        </w:rPr>
        <w:t> </w:t>
      </w:r>
      <w:r>
        <w:rPr>
          <w:color w:val="231F20"/>
          <w:w w:val="110"/>
        </w:rPr>
        <w:t>business</w:t>
      </w:r>
      <w:r>
        <w:rPr>
          <w:color w:val="231F20"/>
          <w:spacing w:val="-16"/>
          <w:w w:val="110"/>
        </w:rPr>
        <w:t> </w:t>
      </w:r>
      <w:r>
        <w:rPr>
          <w:color w:val="231F20"/>
          <w:w w:val="110"/>
        </w:rPr>
        <w:t>on</w:t>
      </w:r>
      <w:r>
        <w:rPr>
          <w:color w:val="231F20"/>
          <w:spacing w:val="-17"/>
          <w:w w:val="110"/>
        </w:rPr>
        <w:t> </w:t>
      </w:r>
      <w:r>
        <w:rPr>
          <w:color w:val="231F20"/>
          <w:spacing w:val="-3"/>
          <w:w w:val="110"/>
        </w:rPr>
        <w:t>January</w:t>
      </w:r>
      <w:r>
        <w:rPr>
          <w:color w:val="231F20"/>
          <w:spacing w:val="-16"/>
          <w:w w:val="110"/>
        </w:rPr>
        <w:t> </w:t>
      </w:r>
      <w:r>
        <w:rPr>
          <w:color w:val="231F20"/>
          <w:w w:val="110"/>
        </w:rPr>
        <w:t>4, 2024</w:t>
      </w:r>
      <w:r>
        <w:rPr>
          <w:color w:val="231F20"/>
          <w:spacing w:val="-26"/>
          <w:w w:val="110"/>
        </w:rPr>
        <w:t> </w:t>
      </w:r>
      <w:r>
        <w:rPr>
          <w:color w:val="231F20"/>
          <w:w w:val="110"/>
        </w:rPr>
        <w:t>(the</w:t>
      </w:r>
      <w:r>
        <w:rPr>
          <w:color w:val="231F20"/>
          <w:spacing w:val="-26"/>
          <w:w w:val="110"/>
        </w:rPr>
        <w:t> </w:t>
      </w:r>
      <w:r>
        <w:rPr>
          <w:color w:val="231F20"/>
          <w:w w:val="110"/>
        </w:rPr>
        <w:t>“</w:t>
      </w:r>
      <w:r>
        <w:rPr>
          <w:b/>
          <w:color w:val="231F20"/>
          <w:w w:val="110"/>
        </w:rPr>
        <w:t>Record</w:t>
      </w:r>
      <w:r>
        <w:rPr>
          <w:b/>
          <w:color w:val="231F20"/>
          <w:spacing w:val="-26"/>
          <w:w w:val="110"/>
        </w:rPr>
        <w:t> </w:t>
      </w:r>
      <w:r>
        <w:rPr>
          <w:b/>
          <w:color w:val="231F20"/>
          <w:w w:val="110"/>
        </w:rPr>
        <w:t>Date</w:t>
      </w:r>
      <w:r>
        <w:rPr>
          <w:color w:val="231F20"/>
          <w:w w:val="110"/>
        </w:rPr>
        <w:t>”)</w:t>
      </w:r>
      <w:r>
        <w:rPr>
          <w:color w:val="231F20"/>
          <w:spacing w:val="-26"/>
          <w:w w:val="110"/>
        </w:rPr>
        <w:t> </w:t>
      </w:r>
      <w:r>
        <w:rPr>
          <w:color w:val="231F20"/>
          <w:w w:val="110"/>
        </w:rPr>
        <w:t>will</w:t>
      </w:r>
      <w:r>
        <w:rPr>
          <w:color w:val="231F20"/>
          <w:spacing w:val="-26"/>
          <w:w w:val="110"/>
        </w:rPr>
        <w:t> </w:t>
      </w:r>
      <w:r>
        <w:rPr>
          <w:color w:val="231F20"/>
          <w:w w:val="110"/>
        </w:rPr>
        <w:t>be</w:t>
      </w:r>
      <w:r>
        <w:rPr>
          <w:color w:val="231F20"/>
          <w:spacing w:val="-26"/>
          <w:w w:val="110"/>
        </w:rPr>
        <w:t> </w:t>
      </w:r>
      <w:r>
        <w:rPr>
          <w:color w:val="231F20"/>
          <w:w w:val="110"/>
        </w:rPr>
        <w:t>entitled</w:t>
      </w:r>
      <w:r>
        <w:rPr>
          <w:color w:val="231F20"/>
          <w:spacing w:val="-26"/>
          <w:w w:val="110"/>
        </w:rPr>
        <w:t> </w:t>
      </w:r>
      <w:r>
        <w:rPr>
          <w:color w:val="231F20"/>
          <w:w w:val="110"/>
        </w:rPr>
        <w:t>to</w:t>
      </w:r>
      <w:r>
        <w:rPr>
          <w:color w:val="231F20"/>
          <w:spacing w:val="-26"/>
          <w:w w:val="110"/>
        </w:rPr>
        <w:t> </w:t>
      </w:r>
      <w:r>
        <w:rPr>
          <w:color w:val="231F20"/>
          <w:w w:val="110"/>
        </w:rPr>
        <w:t>notice</w:t>
      </w:r>
      <w:r>
        <w:rPr>
          <w:color w:val="231F20"/>
          <w:spacing w:val="-26"/>
          <w:w w:val="110"/>
        </w:rPr>
        <w:t> </w:t>
      </w:r>
      <w:r>
        <w:rPr>
          <w:color w:val="231F20"/>
          <w:w w:val="110"/>
        </w:rPr>
        <w:t>of,</w:t>
      </w:r>
      <w:r>
        <w:rPr>
          <w:color w:val="231F20"/>
          <w:spacing w:val="-26"/>
          <w:w w:val="110"/>
        </w:rPr>
        <w:t> </w:t>
      </w:r>
      <w:r>
        <w:rPr>
          <w:color w:val="231F20"/>
          <w:w w:val="110"/>
        </w:rPr>
        <w:t>and,</w:t>
      </w:r>
      <w:r>
        <w:rPr>
          <w:color w:val="231F20"/>
          <w:spacing w:val="-26"/>
          <w:w w:val="110"/>
        </w:rPr>
        <w:t> </w:t>
      </w:r>
      <w:r>
        <w:rPr>
          <w:color w:val="231F20"/>
          <w:w w:val="110"/>
        </w:rPr>
        <w:t>in</w:t>
      </w:r>
      <w:r>
        <w:rPr>
          <w:color w:val="231F20"/>
          <w:spacing w:val="-25"/>
          <w:w w:val="110"/>
        </w:rPr>
        <w:t> </w:t>
      </w:r>
      <w:r>
        <w:rPr>
          <w:color w:val="231F20"/>
          <w:w w:val="110"/>
        </w:rPr>
        <w:t>respect</w:t>
      </w:r>
      <w:r>
        <w:rPr>
          <w:color w:val="231F20"/>
          <w:spacing w:val="-26"/>
          <w:w w:val="110"/>
        </w:rPr>
        <w:t> </w:t>
      </w:r>
      <w:r>
        <w:rPr>
          <w:color w:val="231F20"/>
          <w:w w:val="110"/>
        </w:rPr>
        <w:t>of</w:t>
      </w:r>
      <w:r>
        <w:rPr>
          <w:color w:val="231F20"/>
          <w:spacing w:val="-15"/>
          <w:w w:val="110"/>
        </w:rPr>
        <w:t> </w:t>
      </w:r>
      <w:r>
        <w:rPr>
          <w:color w:val="231F20"/>
          <w:w w:val="110"/>
        </w:rPr>
        <w:t>holders</w:t>
      </w:r>
      <w:r>
        <w:rPr>
          <w:color w:val="231F20"/>
          <w:spacing w:val="-26"/>
          <w:w w:val="110"/>
        </w:rPr>
        <w:t> </w:t>
      </w:r>
      <w:r>
        <w:rPr>
          <w:color w:val="231F20"/>
          <w:w w:val="110"/>
        </w:rPr>
        <w:t>of</w:t>
      </w:r>
      <w:r>
        <w:rPr>
          <w:color w:val="231F20"/>
          <w:spacing w:val="-15"/>
          <w:w w:val="110"/>
        </w:rPr>
        <w:t> </w:t>
      </w:r>
      <w:r>
        <w:rPr>
          <w:color w:val="231F20"/>
          <w:w w:val="110"/>
        </w:rPr>
        <w:t>our</w:t>
      </w:r>
      <w:r>
        <w:rPr>
          <w:color w:val="231F20"/>
          <w:spacing w:val="-26"/>
          <w:w w:val="110"/>
        </w:rPr>
        <w:t> </w:t>
      </w:r>
      <w:r>
        <w:rPr>
          <w:color w:val="231F20"/>
          <w:w w:val="110"/>
        </w:rPr>
        <w:t>ordinary</w:t>
      </w:r>
      <w:r>
        <w:rPr>
          <w:color w:val="231F20"/>
          <w:spacing w:val="-25"/>
          <w:w w:val="110"/>
        </w:rPr>
        <w:t> </w:t>
      </w:r>
      <w:r>
        <w:rPr>
          <w:color w:val="231F20"/>
          <w:w w:val="110"/>
        </w:rPr>
        <w:t>shares,</w:t>
      </w:r>
      <w:r>
        <w:rPr>
          <w:color w:val="231F20"/>
          <w:spacing w:val="-26"/>
          <w:w w:val="110"/>
        </w:rPr>
        <w:t> </w:t>
      </w:r>
      <w:r>
        <w:rPr>
          <w:color w:val="231F20"/>
          <w:w w:val="110"/>
        </w:rPr>
        <w:t>to vote</w:t>
      </w:r>
      <w:r>
        <w:rPr>
          <w:color w:val="231F20"/>
          <w:spacing w:val="-8"/>
          <w:w w:val="110"/>
        </w:rPr>
        <w:t> </w:t>
      </w:r>
      <w:r>
        <w:rPr>
          <w:color w:val="231F20"/>
          <w:spacing w:val="-3"/>
          <w:w w:val="110"/>
        </w:rPr>
        <w:t>at</w:t>
      </w:r>
      <w:r>
        <w:rPr>
          <w:color w:val="231F20"/>
          <w:spacing w:val="-8"/>
          <w:w w:val="110"/>
        </w:rPr>
        <w:t> </w:t>
      </w:r>
      <w:r>
        <w:rPr>
          <w:color w:val="231F20"/>
          <w:w w:val="110"/>
        </w:rPr>
        <w:t>the</w:t>
      </w:r>
      <w:r>
        <w:rPr>
          <w:color w:val="231F20"/>
          <w:spacing w:val="-7"/>
          <w:w w:val="110"/>
        </w:rPr>
        <w:t> </w:t>
      </w:r>
      <w:r>
        <w:rPr>
          <w:color w:val="231F20"/>
          <w:w w:val="110"/>
        </w:rPr>
        <w:t>Meeting,</w:t>
      </w:r>
      <w:r>
        <w:rPr>
          <w:color w:val="231F20"/>
          <w:spacing w:val="-8"/>
          <w:w w:val="110"/>
        </w:rPr>
        <w:t> </w:t>
      </w:r>
      <w:r>
        <w:rPr>
          <w:color w:val="231F20"/>
          <w:w w:val="110"/>
        </w:rPr>
        <w:t>or</w:t>
      </w:r>
      <w:r>
        <w:rPr>
          <w:color w:val="231F20"/>
          <w:spacing w:val="-7"/>
          <w:w w:val="110"/>
        </w:rPr>
        <w:t> </w:t>
      </w:r>
      <w:r>
        <w:rPr>
          <w:color w:val="231F20"/>
          <w:spacing w:val="-3"/>
          <w:w w:val="110"/>
        </w:rPr>
        <w:t>any</w:t>
      </w:r>
      <w:r>
        <w:rPr>
          <w:color w:val="231F20"/>
          <w:spacing w:val="-8"/>
          <w:w w:val="110"/>
        </w:rPr>
        <w:t> </w:t>
      </w:r>
      <w:r>
        <w:rPr>
          <w:color w:val="231F20"/>
          <w:w w:val="110"/>
        </w:rPr>
        <w:t>adjournment</w:t>
      </w:r>
      <w:r>
        <w:rPr>
          <w:color w:val="231F20"/>
          <w:spacing w:val="-7"/>
          <w:w w:val="110"/>
        </w:rPr>
        <w:t> </w:t>
      </w:r>
      <w:r>
        <w:rPr>
          <w:color w:val="231F20"/>
          <w:w w:val="110"/>
        </w:rPr>
        <w:t>or</w:t>
      </w:r>
      <w:r>
        <w:rPr>
          <w:color w:val="231F20"/>
          <w:spacing w:val="-8"/>
          <w:w w:val="110"/>
        </w:rPr>
        <w:t> </w:t>
      </w:r>
      <w:r>
        <w:rPr>
          <w:color w:val="231F20"/>
          <w:w w:val="110"/>
        </w:rPr>
        <w:t>postponement</w:t>
      </w:r>
      <w:r>
        <w:rPr>
          <w:color w:val="231F20"/>
          <w:spacing w:val="-7"/>
          <w:w w:val="110"/>
        </w:rPr>
        <w:t> </w:t>
      </w:r>
      <w:r>
        <w:rPr>
          <w:color w:val="231F20"/>
          <w:w w:val="110"/>
        </w:rPr>
        <w:t>thereof.</w:t>
      </w:r>
    </w:p>
    <w:p>
      <w:pPr>
        <w:spacing w:after="0" w:line="249" w:lineRule="auto"/>
        <w:sectPr>
          <w:footerReference w:type="default" r:id="rId11"/>
          <w:pgSz w:w="11880" w:h="15480"/>
          <w:pgMar w:footer="0" w:header="0" w:top="940" w:bottom="280" w:left="300" w:right="0"/>
        </w:sectPr>
      </w:pPr>
    </w:p>
    <w:p>
      <w:pPr>
        <w:pStyle w:val="BodyText"/>
        <w:spacing w:line="247" w:lineRule="auto" w:before="87"/>
        <w:ind w:left="1090" w:right="1386" w:firstLine="399"/>
      </w:pPr>
      <w:r>
        <w:rPr>
          <w:color w:val="231F20"/>
          <w:w w:val="105"/>
        </w:rPr>
        <w:t>This Notice of  </w:t>
      </w:r>
      <w:r>
        <w:rPr>
          <w:color w:val="231F20"/>
          <w:spacing w:val="-3"/>
          <w:w w:val="105"/>
        </w:rPr>
        <w:t>Annual </w:t>
      </w:r>
      <w:r>
        <w:rPr>
          <w:color w:val="231F20"/>
          <w:w w:val="105"/>
        </w:rPr>
        <w:t>Meeting, the </w:t>
      </w:r>
      <w:r>
        <w:rPr>
          <w:color w:val="231F20"/>
          <w:spacing w:val="-3"/>
          <w:w w:val="105"/>
        </w:rPr>
        <w:t>Proxy </w:t>
      </w:r>
      <w:r>
        <w:rPr>
          <w:color w:val="231F20"/>
          <w:w w:val="105"/>
        </w:rPr>
        <w:t>Statement and a voting instruction form </w:t>
      </w:r>
      <w:r>
        <w:rPr>
          <w:color w:val="231F20"/>
          <w:spacing w:val="-3"/>
          <w:w w:val="105"/>
        </w:rPr>
        <w:t>for </w:t>
      </w:r>
      <w:r>
        <w:rPr>
          <w:color w:val="231F20"/>
          <w:w w:val="105"/>
        </w:rPr>
        <w:t>holders of  ADSs is being mailed to </w:t>
      </w:r>
      <w:r>
        <w:rPr>
          <w:color w:val="231F20"/>
          <w:spacing w:val="-3"/>
          <w:w w:val="105"/>
        </w:rPr>
        <w:t>all </w:t>
      </w:r>
      <w:r>
        <w:rPr>
          <w:color w:val="231F20"/>
          <w:w w:val="105"/>
        </w:rPr>
        <w:t>holders of ADSs, and this Notice of  </w:t>
      </w:r>
      <w:r>
        <w:rPr>
          <w:color w:val="231F20"/>
          <w:spacing w:val="-3"/>
          <w:w w:val="105"/>
        </w:rPr>
        <w:t>Annual </w:t>
      </w:r>
      <w:r>
        <w:rPr>
          <w:color w:val="231F20"/>
          <w:w w:val="105"/>
        </w:rPr>
        <w:t>Meeting, the </w:t>
      </w:r>
      <w:r>
        <w:rPr>
          <w:color w:val="231F20"/>
          <w:spacing w:val="-3"/>
          <w:w w:val="105"/>
        </w:rPr>
        <w:t>Proxy </w:t>
      </w:r>
      <w:r>
        <w:rPr>
          <w:color w:val="231F20"/>
          <w:w w:val="105"/>
        </w:rPr>
        <w:t>Statement and a form of voting ballot (a “</w:t>
      </w:r>
      <w:r>
        <w:rPr>
          <w:b/>
          <w:color w:val="231F20"/>
          <w:w w:val="105"/>
        </w:rPr>
        <w:t>Ballot</w:t>
      </w:r>
      <w:r>
        <w:rPr>
          <w:color w:val="231F20"/>
          <w:w w:val="105"/>
        </w:rPr>
        <w:t>”) </w:t>
      </w:r>
      <w:r>
        <w:rPr>
          <w:color w:val="231F20"/>
          <w:spacing w:val="-3"/>
          <w:w w:val="105"/>
        </w:rPr>
        <w:t>for </w:t>
      </w:r>
      <w:r>
        <w:rPr>
          <w:color w:val="231F20"/>
          <w:w w:val="105"/>
        </w:rPr>
        <w:t>holders of ordinary shares is being made </w:t>
      </w:r>
      <w:r>
        <w:rPr>
          <w:color w:val="231F20"/>
          <w:spacing w:val="-4"/>
          <w:w w:val="105"/>
        </w:rPr>
        <w:t>available </w:t>
      </w:r>
      <w:r>
        <w:rPr>
          <w:color w:val="231F20"/>
          <w:w w:val="105"/>
        </w:rPr>
        <w:t>to </w:t>
      </w:r>
      <w:r>
        <w:rPr>
          <w:color w:val="231F20"/>
          <w:spacing w:val="-3"/>
          <w:w w:val="105"/>
        </w:rPr>
        <w:t>all </w:t>
      </w:r>
      <w:r>
        <w:rPr>
          <w:color w:val="231F20"/>
          <w:w w:val="105"/>
        </w:rPr>
        <w:t>holders of our</w:t>
      </w:r>
      <w:r>
        <w:rPr>
          <w:color w:val="231F20"/>
          <w:spacing w:val="-11"/>
          <w:w w:val="105"/>
        </w:rPr>
        <w:t> </w:t>
      </w:r>
      <w:r>
        <w:rPr>
          <w:color w:val="231F20"/>
          <w:w w:val="105"/>
        </w:rPr>
        <w:t>ordinary</w:t>
      </w:r>
      <w:r>
        <w:rPr>
          <w:color w:val="231F20"/>
          <w:spacing w:val="-10"/>
          <w:w w:val="105"/>
        </w:rPr>
        <w:t> </w:t>
      </w:r>
      <w:r>
        <w:rPr>
          <w:color w:val="231F20"/>
          <w:w w:val="105"/>
        </w:rPr>
        <w:t>shares</w:t>
      </w:r>
      <w:r>
        <w:rPr>
          <w:color w:val="231F20"/>
          <w:spacing w:val="-10"/>
          <w:w w:val="105"/>
        </w:rPr>
        <w:t> </w:t>
      </w:r>
      <w:r>
        <w:rPr>
          <w:color w:val="231F20"/>
          <w:w w:val="105"/>
        </w:rPr>
        <w:t>on</w:t>
      </w:r>
      <w:r>
        <w:rPr>
          <w:color w:val="231F20"/>
          <w:spacing w:val="-11"/>
          <w:w w:val="105"/>
        </w:rPr>
        <w:t> </w:t>
      </w:r>
      <w:r>
        <w:rPr>
          <w:color w:val="231F20"/>
          <w:w w:val="105"/>
        </w:rPr>
        <w:t>our</w:t>
      </w:r>
      <w:r>
        <w:rPr>
          <w:color w:val="231F20"/>
          <w:spacing w:val="-10"/>
          <w:w w:val="105"/>
        </w:rPr>
        <w:t> </w:t>
      </w:r>
      <w:r>
        <w:rPr>
          <w:color w:val="231F20"/>
          <w:w w:val="105"/>
        </w:rPr>
        <w:t>website</w:t>
      </w:r>
      <w:r>
        <w:rPr>
          <w:color w:val="231F20"/>
          <w:spacing w:val="-10"/>
          <w:w w:val="105"/>
        </w:rPr>
        <w:t> </w:t>
      </w:r>
      <w:r>
        <w:rPr>
          <w:color w:val="231F20"/>
          <w:spacing w:val="-3"/>
          <w:w w:val="105"/>
        </w:rPr>
        <w:t>at</w:t>
      </w:r>
      <w:r>
        <w:rPr>
          <w:color w:val="231F20"/>
          <w:spacing w:val="-10"/>
          <w:w w:val="105"/>
        </w:rPr>
        <w:t> </w:t>
      </w:r>
      <w:hyperlink r:id="rId8">
        <w:r>
          <w:rPr>
            <w:color w:val="231F20"/>
            <w:w w:val="105"/>
          </w:rPr>
          <w:t>https://ww</w:t>
        </w:r>
      </w:hyperlink>
      <w:r>
        <w:rPr>
          <w:color w:val="231F20"/>
          <w:w w:val="105"/>
        </w:rPr>
        <w:t>w.shl-te</w:t>
      </w:r>
      <w:hyperlink r:id="rId8">
        <w:r>
          <w:rPr>
            <w:color w:val="231F20"/>
            <w:w w:val="105"/>
          </w:rPr>
          <w:t>lemedicine.com/general-meeting</w:t>
        </w:r>
        <w:r>
          <w:rPr>
            <w:color w:val="231F20"/>
            <w:spacing w:val="-11"/>
            <w:w w:val="105"/>
          </w:rPr>
          <w:t> </w:t>
        </w:r>
      </w:hyperlink>
      <w:r>
        <w:rPr>
          <w:color w:val="231F20"/>
          <w:w w:val="105"/>
        </w:rPr>
        <w:t>and</w:t>
      </w:r>
      <w:r>
        <w:rPr>
          <w:color w:val="231F20"/>
          <w:spacing w:val="-10"/>
          <w:w w:val="105"/>
        </w:rPr>
        <w:t> </w:t>
      </w:r>
      <w:r>
        <w:rPr>
          <w:color w:val="231F20"/>
          <w:w w:val="105"/>
        </w:rPr>
        <w:t>being</w:t>
      </w:r>
      <w:r>
        <w:rPr>
          <w:color w:val="231F20"/>
          <w:spacing w:val="-10"/>
          <w:w w:val="105"/>
        </w:rPr>
        <w:t> </w:t>
      </w:r>
      <w:r>
        <w:rPr>
          <w:color w:val="231F20"/>
          <w:w w:val="105"/>
        </w:rPr>
        <w:t>furnished to the </w:t>
      </w:r>
      <w:r>
        <w:rPr>
          <w:color w:val="231F20"/>
          <w:spacing w:val="-7"/>
          <w:w w:val="105"/>
        </w:rPr>
        <w:t>U.S. </w:t>
      </w:r>
      <w:r>
        <w:rPr>
          <w:color w:val="231F20"/>
          <w:w w:val="105"/>
        </w:rPr>
        <w:t>Securities and Exchange Commission (the “</w:t>
      </w:r>
      <w:r>
        <w:rPr>
          <w:b/>
          <w:color w:val="231F20"/>
          <w:w w:val="105"/>
        </w:rPr>
        <w:t>SEC</w:t>
      </w:r>
      <w:r>
        <w:rPr>
          <w:color w:val="231F20"/>
          <w:w w:val="105"/>
        </w:rPr>
        <w:t>”) under cover of  a </w:t>
      </w:r>
      <w:r>
        <w:rPr>
          <w:color w:val="231F20"/>
          <w:spacing w:val="-3"/>
          <w:w w:val="105"/>
        </w:rPr>
        <w:t>Form </w:t>
      </w:r>
      <w:r>
        <w:rPr>
          <w:color w:val="231F20"/>
          <w:w w:val="105"/>
        </w:rPr>
        <w:t>6-K, in each case on or about December 28,</w:t>
      </w:r>
      <w:r>
        <w:rPr>
          <w:color w:val="231F20"/>
          <w:spacing w:val="-14"/>
          <w:w w:val="105"/>
        </w:rPr>
        <w:t> </w:t>
      </w:r>
      <w:r>
        <w:rPr>
          <w:color w:val="231F20"/>
          <w:w w:val="105"/>
        </w:rPr>
        <w:t>2023.</w:t>
      </w:r>
    </w:p>
    <w:p>
      <w:pPr>
        <w:pStyle w:val="BodyText"/>
        <w:spacing w:line="247" w:lineRule="auto" w:before="164"/>
        <w:ind w:left="1090" w:right="1378" w:firstLine="399"/>
      </w:pPr>
      <w:r>
        <w:rPr>
          <w:color w:val="231F20"/>
          <w:spacing w:val="-11"/>
          <w:w w:val="110"/>
        </w:rPr>
        <w:t>To</w:t>
      </w:r>
      <w:r>
        <w:rPr>
          <w:color w:val="231F20"/>
          <w:spacing w:val="-21"/>
          <w:w w:val="110"/>
        </w:rPr>
        <w:t> </w:t>
      </w:r>
      <w:r>
        <w:rPr>
          <w:color w:val="231F20"/>
          <w:w w:val="110"/>
        </w:rPr>
        <w:t>be</w:t>
      </w:r>
      <w:r>
        <w:rPr>
          <w:color w:val="231F20"/>
          <w:spacing w:val="-21"/>
          <w:w w:val="110"/>
        </w:rPr>
        <w:t> </w:t>
      </w:r>
      <w:r>
        <w:rPr>
          <w:color w:val="231F20"/>
          <w:spacing w:val="-3"/>
          <w:w w:val="110"/>
        </w:rPr>
        <w:t>able</w:t>
      </w:r>
      <w:r>
        <w:rPr>
          <w:color w:val="231F20"/>
          <w:spacing w:val="-21"/>
          <w:w w:val="110"/>
        </w:rPr>
        <w:t> </w:t>
      </w:r>
      <w:r>
        <w:rPr>
          <w:color w:val="231F20"/>
          <w:w w:val="110"/>
        </w:rPr>
        <w:t>to</w:t>
      </w:r>
      <w:r>
        <w:rPr>
          <w:color w:val="231F20"/>
          <w:spacing w:val="-21"/>
          <w:w w:val="110"/>
        </w:rPr>
        <w:t> </w:t>
      </w:r>
      <w:r>
        <w:rPr>
          <w:color w:val="231F20"/>
          <w:w w:val="110"/>
        </w:rPr>
        <w:t>vote</w:t>
      </w:r>
      <w:r>
        <w:rPr>
          <w:color w:val="231F20"/>
          <w:spacing w:val="-21"/>
          <w:w w:val="110"/>
        </w:rPr>
        <w:t> </w:t>
      </w:r>
      <w:r>
        <w:rPr>
          <w:color w:val="231F20"/>
          <w:w w:val="110"/>
        </w:rPr>
        <w:t>in</w:t>
      </w:r>
      <w:r>
        <w:rPr>
          <w:color w:val="231F20"/>
          <w:spacing w:val="-21"/>
          <w:w w:val="110"/>
        </w:rPr>
        <w:t> </w:t>
      </w:r>
      <w:r>
        <w:rPr>
          <w:color w:val="231F20"/>
          <w:w w:val="110"/>
        </w:rPr>
        <w:t>the</w:t>
      </w:r>
      <w:r>
        <w:rPr>
          <w:color w:val="231F20"/>
          <w:spacing w:val="-21"/>
          <w:w w:val="110"/>
        </w:rPr>
        <w:t> </w:t>
      </w:r>
      <w:r>
        <w:rPr>
          <w:color w:val="231F20"/>
          <w:w w:val="110"/>
        </w:rPr>
        <w:t>Meeting,</w:t>
      </w:r>
      <w:r>
        <w:rPr>
          <w:color w:val="231F20"/>
          <w:spacing w:val="-21"/>
          <w:w w:val="110"/>
        </w:rPr>
        <w:t> </w:t>
      </w:r>
      <w:r>
        <w:rPr>
          <w:color w:val="231F20"/>
          <w:w w:val="110"/>
        </w:rPr>
        <w:t>holders</w:t>
      </w:r>
      <w:r>
        <w:rPr>
          <w:color w:val="231F20"/>
          <w:spacing w:val="-21"/>
          <w:w w:val="110"/>
        </w:rPr>
        <w:t> </w:t>
      </w:r>
      <w:r>
        <w:rPr>
          <w:color w:val="231F20"/>
          <w:w w:val="110"/>
        </w:rPr>
        <w:t>of</w:t>
      </w:r>
      <w:r>
        <w:rPr>
          <w:color w:val="231F20"/>
          <w:spacing w:val="-8"/>
          <w:w w:val="110"/>
        </w:rPr>
        <w:t> </w:t>
      </w:r>
      <w:r>
        <w:rPr>
          <w:color w:val="231F20"/>
          <w:w w:val="110"/>
        </w:rPr>
        <w:t>our</w:t>
      </w:r>
      <w:r>
        <w:rPr>
          <w:color w:val="231F20"/>
          <w:spacing w:val="-21"/>
          <w:w w:val="110"/>
        </w:rPr>
        <w:t> </w:t>
      </w:r>
      <w:r>
        <w:rPr>
          <w:color w:val="231F20"/>
          <w:w w:val="110"/>
        </w:rPr>
        <w:t>ADSs</w:t>
      </w:r>
      <w:r>
        <w:rPr>
          <w:color w:val="231F20"/>
          <w:spacing w:val="-21"/>
          <w:w w:val="110"/>
        </w:rPr>
        <w:t> </w:t>
      </w:r>
      <w:r>
        <w:rPr>
          <w:color w:val="231F20"/>
          <w:w w:val="110"/>
        </w:rPr>
        <w:t>will</w:t>
      </w:r>
      <w:r>
        <w:rPr>
          <w:color w:val="231F20"/>
          <w:spacing w:val="-21"/>
          <w:w w:val="110"/>
        </w:rPr>
        <w:t> </w:t>
      </w:r>
      <w:r>
        <w:rPr>
          <w:color w:val="231F20"/>
          <w:w w:val="110"/>
        </w:rPr>
        <w:t>receive</w:t>
      </w:r>
      <w:r>
        <w:rPr>
          <w:color w:val="231F20"/>
          <w:spacing w:val="-21"/>
          <w:w w:val="110"/>
        </w:rPr>
        <w:t> </w:t>
      </w:r>
      <w:r>
        <w:rPr>
          <w:color w:val="231F20"/>
          <w:w w:val="110"/>
        </w:rPr>
        <w:t>a</w:t>
      </w:r>
      <w:r>
        <w:rPr>
          <w:color w:val="231F20"/>
          <w:spacing w:val="-21"/>
          <w:w w:val="110"/>
        </w:rPr>
        <w:t> </w:t>
      </w:r>
      <w:r>
        <w:rPr>
          <w:color w:val="231F20"/>
          <w:w w:val="110"/>
        </w:rPr>
        <w:t>voting</w:t>
      </w:r>
      <w:r>
        <w:rPr>
          <w:color w:val="231F20"/>
          <w:spacing w:val="-21"/>
          <w:w w:val="110"/>
        </w:rPr>
        <w:t> </w:t>
      </w:r>
      <w:r>
        <w:rPr>
          <w:color w:val="231F20"/>
          <w:w w:val="110"/>
        </w:rPr>
        <w:t>instruction</w:t>
      </w:r>
      <w:r>
        <w:rPr>
          <w:color w:val="231F20"/>
          <w:spacing w:val="-21"/>
          <w:w w:val="110"/>
        </w:rPr>
        <w:t> </w:t>
      </w:r>
      <w:r>
        <w:rPr>
          <w:color w:val="231F20"/>
          <w:w w:val="110"/>
        </w:rPr>
        <w:t>form</w:t>
      </w:r>
      <w:r>
        <w:rPr>
          <w:color w:val="231F20"/>
          <w:spacing w:val="-21"/>
          <w:w w:val="110"/>
        </w:rPr>
        <w:t> </w:t>
      </w:r>
      <w:r>
        <w:rPr>
          <w:color w:val="231F20"/>
          <w:w w:val="110"/>
        </w:rPr>
        <w:t>from</w:t>
      </w:r>
      <w:r>
        <w:rPr>
          <w:color w:val="231F20"/>
          <w:spacing w:val="-21"/>
          <w:w w:val="110"/>
        </w:rPr>
        <w:t> </w:t>
      </w:r>
      <w:r>
        <w:rPr>
          <w:color w:val="231F20"/>
          <w:w w:val="110"/>
        </w:rPr>
        <w:t>The Bank</w:t>
      </w:r>
      <w:r>
        <w:rPr>
          <w:color w:val="231F20"/>
          <w:spacing w:val="-24"/>
          <w:w w:val="110"/>
        </w:rPr>
        <w:t> </w:t>
      </w:r>
      <w:r>
        <w:rPr>
          <w:color w:val="231F20"/>
          <w:w w:val="110"/>
        </w:rPr>
        <w:t>of</w:t>
      </w:r>
      <w:r>
        <w:rPr>
          <w:color w:val="231F20"/>
          <w:spacing w:val="-10"/>
          <w:w w:val="110"/>
        </w:rPr>
        <w:t> </w:t>
      </w:r>
      <w:r>
        <w:rPr>
          <w:color w:val="231F20"/>
          <w:w w:val="110"/>
        </w:rPr>
        <w:t>New</w:t>
      </w:r>
      <w:r>
        <w:rPr>
          <w:color w:val="231F20"/>
          <w:spacing w:val="-24"/>
          <w:w w:val="110"/>
        </w:rPr>
        <w:t> </w:t>
      </w:r>
      <w:r>
        <w:rPr>
          <w:color w:val="231F20"/>
          <w:spacing w:val="-8"/>
          <w:w w:val="110"/>
        </w:rPr>
        <w:t>York</w:t>
      </w:r>
      <w:r>
        <w:rPr>
          <w:color w:val="231F20"/>
          <w:spacing w:val="-23"/>
          <w:w w:val="110"/>
        </w:rPr>
        <w:t> </w:t>
      </w:r>
      <w:r>
        <w:rPr>
          <w:color w:val="231F20"/>
          <w:w w:val="110"/>
        </w:rPr>
        <w:t>Mellon</w:t>
      </w:r>
      <w:r>
        <w:rPr>
          <w:color w:val="231F20"/>
          <w:spacing w:val="-24"/>
          <w:w w:val="110"/>
        </w:rPr>
        <w:t> </w:t>
      </w:r>
      <w:r>
        <w:rPr>
          <w:color w:val="231F20"/>
          <w:w w:val="110"/>
        </w:rPr>
        <w:t>(which</w:t>
      </w:r>
      <w:r>
        <w:rPr>
          <w:color w:val="231F20"/>
          <w:spacing w:val="-23"/>
          <w:w w:val="110"/>
        </w:rPr>
        <w:t> </w:t>
      </w:r>
      <w:r>
        <w:rPr>
          <w:color w:val="231F20"/>
          <w:w w:val="110"/>
        </w:rPr>
        <w:t>acts</w:t>
      </w:r>
      <w:r>
        <w:rPr>
          <w:color w:val="231F20"/>
          <w:spacing w:val="-24"/>
          <w:w w:val="110"/>
        </w:rPr>
        <w:t> </w:t>
      </w:r>
      <w:r>
        <w:rPr>
          <w:color w:val="231F20"/>
          <w:w w:val="110"/>
        </w:rPr>
        <w:t>as</w:t>
      </w:r>
      <w:r>
        <w:rPr>
          <w:color w:val="231F20"/>
          <w:spacing w:val="-24"/>
          <w:w w:val="110"/>
        </w:rPr>
        <w:t> </w:t>
      </w:r>
      <w:r>
        <w:rPr>
          <w:color w:val="231F20"/>
          <w:w w:val="110"/>
        </w:rPr>
        <w:t>the</w:t>
      </w:r>
      <w:r>
        <w:rPr>
          <w:color w:val="231F20"/>
          <w:spacing w:val="-23"/>
          <w:w w:val="110"/>
        </w:rPr>
        <w:t> </w:t>
      </w:r>
      <w:r>
        <w:rPr>
          <w:color w:val="231F20"/>
          <w:w w:val="110"/>
        </w:rPr>
        <w:t>Depositary</w:t>
      </w:r>
      <w:r>
        <w:rPr>
          <w:color w:val="231F20"/>
          <w:spacing w:val="-24"/>
          <w:w w:val="110"/>
        </w:rPr>
        <w:t> </w:t>
      </w:r>
      <w:r>
        <w:rPr>
          <w:color w:val="231F20"/>
          <w:spacing w:val="-3"/>
          <w:w w:val="110"/>
        </w:rPr>
        <w:t>for</w:t>
      </w:r>
      <w:r>
        <w:rPr>
          <w:color w:val="231F20"/>
          <w:spacing w:val="-23"/>
          <w:w w:val="110"/>
        </w:rPr>
        <w:t> </w:t>
      </w:r>
      <w:r>
        <w:rPr>
          <w:color w:val="231F20"/>
          <w:w w:val="110"/>
        </w:rPr>
        <w:t>the</w:t>
      </w:r>
      <w:r>
        <w:rPr>
          <w:color w:val="231F20"/>
          <w:spacing w:val="-24"/>
          <w:w w:val="110"/>
        </w:rPr>
        <w:t> </w:t>
      </w:r>
      <w:r>
        <w:rPr>
          <w:color w:val="231F20"/>
          <w:w w:val="110"/>
        </w:rPr>
        <w:t>ADSs)</w:t>
      </w:r>
      <w:r>
        <w:rPr>
          <w:color w:val="231F20"/>
          <w:spacing w:val="-24"/>
          <w:w w:val="110"/>
        </w:rPr>
        <w:t> </w:t>
      </w:r>
      <w:r>
        <w:rPr>
          <w:color w:val="231F20"/>
          <w:w w:val="110"/>
        </w:rPr>
        <w:t>or</w:t>
      </w:r>
      <w:r>
        <w:rPr>
          <w:color w:val="231F20"/>
          <w:spacing w:val="-23"/>
          <w:w w:val="110"/>
        </w:rPr>
        <w:t> </w:t>
      </w:r>
      <w:r>
        <w:rPr>
          <w:color w:val="231F20"/>
          <w:w w:val="110"/>
        </w:rPr>
        <w:t>from</w:t>
      </w:r>
      <w:r>
        <w:rPr>
          <w:color w:val="231F20"/>
          <w:spacing w:val="-24"/>
          <w:w w:val="110"/>
        </w:rPr>
        <w:t> </w:t>
      </w:r>
      <w:r>
        <w:rPr>
          <w:color w:val="231F20"/>
          <w:w w:val="110"/>
        </w:rPr>
        <w:t>their</w:t>
      </w:r>
      <w:r>
        <w:rPr>
          <w:color w:val="231F20"/>
          <w:spacing w:val="-23"/>
          <w:w w:val="110"/>
        </w:rPr>
        <w:t> </w:t>
      </w:r>
      <w:r>
        <w:rPr>
          <w:color w:val="231F20"/>
          <w:w w:val="110"/>
        </w:rPr>
        <w:t>banks,</w:t>
      </w:r>
      <w:r>
        <w:rPr>
          <w:color w:val="231F20"/>
          <w:spacing w:val="-24"/>
          <w:w w:val="110"/>
        </w:rPr>
        <w:t> </w:t>
      </w:r>
      <w:r>
        <w:rPr>
          <w:color w:val="231F20"/>
          <w:w w:val="110"/>
        </w:rPr>
        <w:t>brokers</w:t>
      </w:r>
      <w:r>
        <w:rPr>
          <w:color w:val="231F20"/>
          <w:spacing w:val="-24"/>
          <w:w w:val="110"/>
        </w:rPr>
        <w:t> </w:t>
      </w:r>
      <w:r>
        <w:rPr>
          <w:color w:val="231F20"/>
          <w:w w:val="110"/>
        </w:rPr>
        <w:t>or</w:t>
      </w:r>
      <w:r>
        <w:rPr>
          <w:color w:val="231F20"/>
          <w:spacing w:val="-23"/>
          <w:w w:val="110"/>
        </w:rPr>
        <w:t> </w:t>
      </w:r>
      <w:r>
        <w:rPr>
          <w:color w:val="231F20"/>
          <w:w w:val="110"/>
        </w:rPr>
        <w:t>other nominees, and must complete, date and sign the voting instruction form and return it in the manner specified</w:t>
      </w:r>
      <w:r>
        <w:rPr>
          <w:color w:val="231F20"/>
          <w:spacing w:val="-20"/>
          <w:w w:val="110"/>
        </w:rPr>
        <w:t> </w:t>
      </w:r>
      <w:r>
        <w:rPr>
          <w:color w:val="231F20"/>
          <w:w w:val="110"/>
        </w:rPr>
        <w:t>on</w:t>
      </w:r>
      <w:r>
        <w:rPr>
          <w:color w:val="231F20"/>
          <w:spacing w:val="-19"/>
          <w:w w:val="110"/>
        </w:rPr>
        <w:t> </w:t>
      </w:r>
      <w:r>
        <w:rPr>
          <w:color w:val="231F20"/>
          <w:w w:val="110"/>
        </w:rPr>
        <w:t>the</w:t>
      </w:r>
      <w:r>
        <w:rPr>
          <w:color w:val="231F20"/>
          <w:spacing w:val="-19"/>
          <w:w w:val="110"/>
        </w:rPr>
        <w:t> </w:t>
      </w:r>
      <w:r>
        <w:rPr>
          <w:color w:val="231F20"/>
          <w:w w:val="110"/>
        </w:rPr>
        <w:t>voting</w:t>
      </w:r>
      <w:r>
        <w:rPr>
          <w:color w:val="231F20"/>
          <w:spacing w:val="-20"/>
          <w:w w:val="110"/>
        </w:rPr>
        <w:t> </w:t>
      </w:r>
      <w:r>
        <w:rPr>
          <w:color w:val="231F20"/>
          <w:w w:val="110"/>
        </w:rPr>
        <w:t>instruction</w:t>
      </w:r>
      <w:r>
        <w:rPr>
          <w:color w:val="231F20"/>
          <w:spacing w:val="-19"/>
          <w:w w:val="110"/>
        </w:rPr>
        <w:t> </w:t>
      </w:r>
      <w:r>
        <w:rPr>
          <w:color w:val="231F20"/>
          <w:w w:val="110"/>
        </w:rPr>
        <w:t>form</w:t>
      </w:r>
      <w:r>
        <w:rPr>
          <w:color w:val="231F20"/>
          <w:spacing w:val="-19"/>
          <w:w w:val="110"/>
        </w:rPr>
        <w:t> </w:t>
      </w:r>
      <w:r>
        <w:rPr>
          <w:color w:val="231F20"/>
          <w:w w:val="110"/>
        </w:rPr>
        <w:t>so</w:t>
      </w:r>
      <w:r>
        <w:rPr>
          <w:color w:val="231F20"/>
          <w:spacing w:val="-20"/>
          <w:w w:val="110"/>
        </w:rPr>
        <w:t> </w:t>
      </w:r>
      <w:r>
        <w:rPr>
          <w:color w:val="231F20"/>
          <w:w w:val="110"/>
        </w:rPr>
        <w:t>that</w:t>
      </w:r>
      <w:r>
        <w:rPr>
          <w:color w:val="231F20"/>
          <w:spacing w:val="-19"/>
          <w:w w:val="110"/>
        </w:rPr>
        <w:t> </w:t>
      </w:r>
      <w:r>
        <w:rPr>
          <w:color w:val="231F20"/>
          <w:w w:val="110"/>
        </w:rPr>
        <w:t>it</w:t>
      </w:r>
      <w:r>
        <w:rPr>
          <w:color w:val="231F20"/>
          <w:spacing w:val="-19"/>
          <w:w w:val="110"/>
        </w:rPr>
        <w:t> </w:t>
      </w:r>
      <w:r>
        <w:rPr>
          <w:color w:val="231F20"/>
          <w:w w:val="110"/>
        </w:rPr>
        <w:t>will</w:t>
      </w:r>
      <w:r>
        <w:rPr>
          <w:color w:val="231F20"/>
          <w:spacing w:val="-20"/>
          <w:w w:val="110"/>
        </w:rPr>
        <w:t> </w:t>
      </w:r>
      <w:r>
        <w:rPr>
          <w:color w:val="231F20"/>
          <w:w w:val="110"/>
        </w:rPr>
        <w:t>be</w:t>
      </w:r>
      <w:r>
        <w:rPr>
          <w:color w:val="231F20"/>
          <w:spacing w:val="-19"/>
          <w:w w:val="110"/>
        </w:rPr>
        <w:t> </w:t>
      </w:r>
      <w:r>
        <w:rPr>
          <w:color w:val="231F20"/>
          <w:w w:val="110"/>
        </w:rPr>
        <w:t>received</w:t>
      </w:r>
      <w:r>
        <w:rPr>
          <w:color w:val="231F20"/>
          <w:spacing w:val="-19"/>
          <w:w w:val="110"/>
        </w:rPr>
        <w:t> </w:t>
      </w:r>
      <w:r>
        <w:rPr>
          <w:color w:val="231F20"/>
          <w:w w:val="110"/>
        </w:rPr>
        <w:t>no</w:t>
      </w:r>
      <w:r>
        <w:rPr>
          <w:color w:val="231F20"/>
          <w:spacing w:val="-20"/>
          <w:w w:val="110"/>
        </w:rPr>
        <w:t> </w:t>
      </w:r>
      <w:r>
        <w:rPr>
          <w:color w:val="231F20"/>
          <w:w w:val="110"/>
        </w:rPr>
        <w:t>later</w:t>
      </w:r>
      <w:r>
        <w:rPr>
          <w:color w:val="231F20"/>
          <w:spacing w:val="-19"/>
          <w:w w:val="110"/>
        </w:rPr>
        <w:t> </w:t>
      </w:r>
      <w:r>
        <w:rPr>
          <w:color w:val="231F20"/>
          <w:w w:val="110"/>
        </w:rPr>
        <w:t>than</w:t>
      </w:r>
      <w:r>
        <w:rPr>
          <w:color w:val="231F20"/>
          <w:spacing w:val="-19"/>
          <w:w w:val="110"/>
        </w:rPr>
        <w:t> </w:t>
      </w:r>
      <w:r>
        <w:rPr>
          <w:color w:val="231F20"/>
          <w:w w:val="110"/>
        </w:rPr>
        <w:t>the</w:t>
      </w:r>
      <w:r>
        <w:rPr>
          <w:color w:val="231F20"/>
          <w:spacing w:val="-20"/>
          <w:w w:val="110"/>
        </w:rPr>
        <w:t> </w:t>
      </w:r>
      <w:r>
        <w:rPr>
          <w:color w:val="231F20"/>
          <w:w w:val="110"/>
        </w:rPr>
        <w:t>date</w:t>
      </w:r>
      <w:r>
        <w:rPr>
          <w:color w:val="231F20"/>
          <w:spacing w:val="-19"/>
          <w:w w:val="110"/>
        </w:rPr>
        <w:t> </w:t>
      </w:r>
      <w:r>
        <w:rPr>
          <w:color w:val="231F20"/>
          <w:w w:val="110"/>
        </w:rPr>
        <w:t>and</w:t>
      </w:r>
      <w:r>
        <w:rPr>
          <w:color w:val="231F20"/>
          <w:spacing w:val="-19"/>
          <w:w w:val="110"/>
        </w:rPr>
        <w:t> </w:t>
      </w:r>
      <w:r>
        <w:rPr>
          <w:color w:val="231F20"/>
          <w:w w:val="110"/>
        </w:rPr>
        <w:t>time</w:t>
      </w:r>
      <w:r>
        <w:rPr>
          <w:color w:val="231F20"/>
          <w:spacing w:val="-20"/>
          <w:w w:val="110"/>
        </w:rPr>
        <w:t> </w:t>
      </w:r>
      <w:r>
        <w:rPr>
          <w:color w:val="231F20"/>
          <w:w w:val="110"/>
        </w:rPr>
        <w:t>indicated thereon</w:t>
      </w:r>
      <w:r>
        <w:rPr>
          <w:color w:val="231F20"/>
          <w:spacing w:val="-14"/>
          <w:w w:val="110"/>
        </w:rPr>
        <w:t> </w:t>
      </w:r>
      <w:r>
        <w:rPr>
          <w:color w:val="231F20"/>
          <w:w w:val="110"/>
        </w:rPr>
        <w:t>in</w:t>
      </w:r>
      <w:r>
        <w:rPr>
          <w:color w:val="231F20"/>
          <w:spacing w:val="-13"/>
          <w:w w:val="110"/>
        </w:rPr>
        <w:t> </w:t>
      </w:r>
      <w:r>
        <w:rPr>
          <w:color w:val="231F20"/>
          <w:w w:val="110"/>
        </w:rPr>
        <w:t>order</w:t>
      </w:r>
      <w:r>
        <w:rPr>
          <w:color w:val="231F20"/>
          <w:spacing w:val="-13"/>
          <w:w w:val="110"/>
        </w:rPr>
        <w:t> </w:t>
      </w:r>
      <w:r>
        <w:rPr>
          <w:color w:val="231F20"/>
          <w:spacing w:val="-3"/>
          <w:w w:val="110"/>
        </w:rPr>
        <w:t>for</w:t>
      </w:r>
      <w:r>
        <w:rPr>
          <w:color w:val="231F20"/>
          <w:spacing w:val="-13"/>
          <w:w w:val="110"/>
        </w:rPr>
        <w:t> </w:t>
      </w:r>
      <w:r>
        <w:rPr>
          <w:color w:val="231F20"/>
          <w:w w:val="110"/>
        </w:rPr>
        <w:t>the</w:t>
      </w:r>
      <w:r>
        <w:rPr>
          <w:color w:val="231F20"/>
          <w:spacing w:val="-13"/>
          <w:w w:val="110"/>
        </w:rPr>
        <w:t> </w:t>
      </w:r>
      <w:r>
        <w:rPr>
          <w:color w:val="231F20"/>
          <w:w w:val="110"/>
        </w:rPr>
        <w:t>ADSs</w:t>
      </w:r>
      <w:r>
        <w:rPr>
          <w:color w:val="231F20"/>
          <w:spacing w:val="-13"/>
          <w:w w:val="110"/>
        </w:rPr>
        <w:t> </w:t>
      </w:r>
      <w:r>
        <w:rPr>
          <w:color w:val="231F20"/>
          <w:w w:val="110"/>
        </w:rPr>
        <w:t>represented</w:t>
      </w:r>
      <w:r>
        <w:rPr>
          <w:color w:val="231F20"/>
          <w:spacing w:val="-13"/>
          <w:w w:val="110"/>
        </w:rPr>
        <w:t> </w:t>
      </w:r>
      <w:r>
        <w:rPr>
          <w:color w:val="231F20"/>
          <w:w w:val="110"/>
        </w:rPr>
        <w:t>by</w:t>
      </w:r>
      <w:r>
        <w:rPr>
          <w:color w:val="231F20"/>
          <w:spacing w:val="-14"/>
          <w:w w:val="110"/>
        </w:rPr>
        <w:t> </w:t>
      </w:r>
      <w:r>
        <w:rPr>
          <w:color w:val="231F20"/>
          <w:w w:val="110"/>
        </w:rPr>
        <w:t>such</w:t>
      </w:r>
      <w:r>
        <w:rPr>
          <w:color w:val="231F20"/>
          <w:spacing w:val="-13"/>
          <w:w w:val="110"/>
        </w:rPr>
        <w:t> </w:t>
      </w:r>
      <w:r>
        <w:rPr>
          <w:color w:val="231F20"/>
          <w:w w:val="110"/>
        </w:rPr>
        <w:t>voting</w:t>
      </w:r>
      <w:r>
        <w:rPr>
          <w:color w:val="231F20"/>
          <w:spacing w:val="-13"/>
          <w:w w:val="110"/>
        </w:rPr>
        <w:t> </w:t>
      </w:r>
      <w:r>
        <w:rPr>
          <w:color w:val="231F20"/>
          <w:w w:val="110"/>
        </w:rPr>
        <w:t>instruction</w:t>
      </w:r>
      <w:r>
        <w:rPr>
          <w:color w:val="231F20"/>
          <w:spacing w:val="-13"/>
          <w:w w:val="110"/>
        </w:rPr>
        <w:t> </w:t>
      </w:r>
      <w:r>
        <w:rPr>
          <w:color w:val="231F20"/>
          <w:w w:val="110"/>
        </w:rPr>
        <w:t>form</w:t>
      </w:r>
      <w:r>
        <w:rPr>
          <w:color w:val="231F20"/>
          <w:spacing w:val="-13"/>
          <w:w w:val="110"/>
        </w:rPr>
        <w:t> </w:t>
      </w:r>
      <w:r>
        <w:rPr>
          <w:color w:val="231F20"/>
          <w:w w:val="110"/>
        </w:rPr>
        <w:t>to</w:t>
      </w:r>
      <w:r>
        <w:rPr>
          <w:color w:val="231F20"/>
          <w:spacing w:val="-13"/>
          <w:w w:val="110"/>
        </w:rPr>
        <w:t> </w:t>
      </w:r>
      <w:r>
        <w:rPr>
          <w:color w:val="231F20"/>
          <w:w w:val="110"/>
        </w:rPr>
        <w:t>be</w:t>
      </w:r>
      <w:r>
        <w:rPr>
          <w:color w:val="231F20"/>
          <w:spacing w:val="-13"/>
          <w:w w:val="110"/>
        </w:rPr>
        <w:t> </w:t>
      </w:r>
      <w:r>
        <w:rPr>
          <w:color w:val="231F20"/>
          <w:w w:val="110"/>
        </w:rPr>
        <w:t>qualified</w:t>
      </w:r>
      <w:r>
        <w:rPr>
          <w:color w:val="231F20"/>
          <w:spacing w:val="-14"/>
          <w:w w:val="110"/>
        </w:rPr>
        <w:t> </w:t>
      </w:r>
      <w:r>
        <w:rPr>
          <w:color w:val="231F20"/>
          <w:w w:val="110"/>
        </w:rPr>
        <w:t>to</w:t>
      </w:r>
      <w:r>
        <w:rPr>
          <w:color w:val="231F20"/>
          <w:spacing w:val="-13"/>
          <w:w w:val="110"/>
        </w:rPr>
        <w:t> </w:t>
      </w:r>
      <w:r>
        <w:rPr>
          <w:color w:val="231F20"/>
          <w:w w:val="110"/>
        </w:rPr>
        <w:t>participate</w:t>
      </w:r>
      <w:r>
        <w:rPr>
          <w:color w:val="231F20"/>
          <w:spacing w:val="-13"/>
          <w:w w:val="110"/>
        </w:rPr>
        <w:t> </w:t>
      </w:r>
      <w:r>
        <w:rPr>
          <w:color w:val="231F20"/>
          <w:w w:val="110"/>
        </w:rPr>
        <w:t>in the</w:t>
      </w:r>
      <w:r>
        <w:rPr>
          <w:color w:val="231F20"/>
          <w:spacing w:val="-11"/>
          <w:w w:val="110"/>
        </w:rPr>
        <w:t> </w:t>
      </w:r>
      <w:r>
        <w:rPr>
          <w:color w:val="231F20"/>
          <w:w w:val="110"/>
        </w:rPr>
        <w:t>Meeting.</w:t>
      </w:r>
      <w:r>
        <w:rPr>
          <w:color w:val="231F20"/>
          <w:spacing w:val="-11"/>
          <w:w w:val="110"/>
        </w:rPr>
        <w:t> </w:t>
      </w:r>
      <w:r>
        <w:rPr>
          <w:color w:val="231F20"/>
          <w:spacing w:val="-6"/>
          <w:w w:val="110"/>
        </w:rPr>
        <w:t>For</w:t>
      </w:r>
      <w:r>
        <w:rPr>
          <w:color w:val="231F20"/>
          <w:spacing w:val="-10"/>
          <w:w w:val="110"/>
        </w:rPr>
        <w:t> </w:t>
      </w:r>
      <w:r>
        <w:rPr>
          <w:color w:val="231F20"/>
          <w:w w:val="110"/>
        </w:rPr>
        <w:t>ADSs</w:t>
      </w:r>
      <w:r>
        <w:rPr>
          <w:color w:val="231F20"/>
          <w:spacing w:val="-11"/>
          <w:w w:val="110"/>
        </w:rPr>
        <w:t> </w:t>
      </w:r>
      <w:r>
        <w:rPr>
          <w:color w:val="231F20"/>
          <w:w w:val="110"/>
        </w:rPr>
        <w:t>that</w:t>
      </w:r>
      <w:r>
        <w:rPr>
          <w:color w:val="231F20"/>
          <w:spacing w:val="-11"/>
          <w:w w:val="110"/>
        </w:rPr>
        <w:t> </w:t>
      </w:r>
      <w:r>
        <w:rPr>
          <w:color w:val="231F20"/>
          <w:w w:val="110"/>
        </w:rPr>
        <w:t>are</w:t>
      </w:r>
      <w:r>
        <w:rPr>
          <w:color w:val="231F20"/>
          <w:spacing w:val="-10"/>
          <w:w w:val="110"/>
        </w:rPr>
        <w:t> </w:t>
      </w:r>
      <w:r>
        <w:rPr>
          <w:color w:val="231F20"/>
          <w:w w:val="110"/>
        </w:rPr>
        <w:t>held</w:t>
      </w:r>
      <w:r>
        <w:rPr>
          <w:color w:val="231F20"/>
          <w:spacing w:val="-11"/>
          <w:w w:val="110"/>
        </w:rPr>
        <w:t> </w:t>
      </w:r>
      <w:r>
        <w:rPr>
          <w:color w:val="231F20"/>
          <w:w w:val="110"/>
        </w:rPr>
        <w:t>in</w:t>
      </w:r>
      <w:r>
        <w:rPr>
          <w:color w:val="231F20"/>
          <w:spacing w:val="-10"/>
          <w:w w:val="110"/>
        </w:rPr>
        <w:t> </w:t>
      </w:r>
      <w:r>
        <w:rPr>
          <w:color w:val="231F20"/>
          <w:w w:val="110"/>
        </w:rPr>
        <w:t>“street</w:t>
      </w:r>
      <w:r>
        <w:rPr>
          <w:color w:val="231F20"/>
          <w:spacing w:val="-11"/>
          <w:w w:val="110"/>
        </w:rPr>
        <w:t> </w:t>
      </w:r>
      <w:r>
        <w:rPr>
          <w:color w:val="231F20"/>
          <w:w w:val="110"/>
        </w:rPr>
        <w:t>name”</w:t>
      </w:r>
      <w:r>
        <w:rPr>
          <w:color w:val="231F20"/>
          <w:spacing w:val="-21"/>
          <w:w w:val="110"/>
        </w:rPr>
        <w:t> </w:t>
      </w:r>
      <w:r>
        <w:rPr>
          <w:color w:val="231F20"/>
          <w:w w:val="110"/>
        </w:rPr>
        <w:t>through</w:t>
      </w:r>
      <w:r>
        <w:rPr>
          <w:color w:val="231F20"/>
          <w:spacing w:val="-10"/>
          <w:w w:val="110"/>
        </w:rPr>
        <w:t> </w:t>
      </w:r>
      <w:r>
        <w:rPr>
          <w:color w:val="231F20"/>
          <w:w w:val="110"/>
        </w:rPr>
        <w:t>a</w:t>
      </w:r>
      <w:r>
        <w:rPr>
          <w:color w:val="231F20"/>
          <w:spacing w:val="-11"/>
          <w:w w:val="110"/>
        </w:rPr>
        <w:t> </w:t>
      </w:r>
      <w:r>
        <w:rPr>
          <w:color w:val="231F20"/>
          <w:w w:val="110"/>
        </w:rPr>
        <w:t>bank,</w:t>
      </w:r>
      <w:r>
        <w:rPr>
          <w:color w:val="231F20"/>
          <w:spacing w:val="-10"/>
          <w:w w:val="110"/>
        </w:rPr>
        <w:t> </w:t>
      </w:r>
      <w:r>
        <w:rPr>
          <w:color w:val="231F20"/>
          <w:spacing w:val="-3"/>
          <w:w w:val="110"/>
        </w:rPr>
        <w:t>broker</w:t>
      </w:r>
      <w:r>
        <w:rPr>
          <w:color w:val="231F20"/>
          <w:spacing w:val="-11"/>
          <w:w w:val="110"/>
        </w:rPr>
        <w:t> </w:t>
      </w:r>
      <w:r>
        <w:rPr>
          <w:color w:val="231F20"/>
          <w:w w:val="110"/>
        </w:rPr>
        <w:t>or</w:t>
      </w:r>
      <w:r>
        <w:rPr>
          <w:color w:val="231F20"/>
          <w:spacing w:val="-11"/>
          <w:w w:val="110"/>
        </w:rPr>
        <w:t> </w:t>
      </w:r>
      <w:r>
        <w:rPr>
          <w:color w:val="231F20"/>
          <w:w w:val="110"/>
        </w:rPr>
        <w:t>other</w:t>
      </w:r>
      <w:r>
        <w:rPr>
          <w:color w:val="231F20"/>
          <w:spacing w:val="-10"/>
          <w:w w:val="110"/>
        </w:rPr>
        <w:t> </w:t>
      </w:r>
      <w:r>
        <w:rPr>
          <w:color w:val="231F20"/>
          <w:w w:val="110"/>
        </w:rPr>
        <w:t>nominee,</w:t>
      </w:r>
      <w:r>
        <w:rPr>
          <w:color w:val="231F20"/>
          <w:spacing w:val="-11"/>
          <w:w w:val="110"/>
        </w:rPr>
        <w:t> </w:t>
      </w:r>
      <w:r>
        <w:rPr>
          <w:color w:val="231F20"/>
          <w:w w:val="110"/>
        </w:rPr>
        <w:t>the</w:t>
      </w:r>
    </w:p>
    <w:p>
      <w:pPr>
        <w:pStyle w:val="BodyText"/>
        <w:spacing w:line="247" w:lineRule="auto" w:before="3"/>
        <w:ind w:left="1090" w:right="1380"/>
      </w:pPr>
      <w:r>
        <w:rPr>
          <w:color w:val="231F20"/>
          <w:w w:val="105"/>
        </w:rPr>
        <w:t>voting process will be based on the underlying beneficial holder of the ADSs directing the bank, </w:t>
      </w:r>
      <w:r>
        <w:rPr>
          <w:color w:val="231F20"/>
          <w:spacing w:val="-3"/>
          <w:w w:val="105"/>
        </w:rPr>
        <w:t>broker </w:t>
      </w:r>
      <w:r>
        <w:rPr>
          <w:color w:val="231F20"/>
          <w:w w:val="105"/>
        </w:rPr>
        <w:t>or other</w:t>
      </w:r>
      <w:r>
        <w:rPr>
          <w:color w:val="231F20"/>
          <w:spacing w:val="-6"/>
          <w:w w:val="105"/>
        </w:rPr>
        <w:t> </w:t>
      </w:r>
      <w:r>
        <w:rPr>
          <w:color w:val="231F20"/>
          <w:w w:val="105"/>
        </w:rPr>
        <w:t>nominee</w:t>
      </w:r>
      <w:r>
        <w:rPr>
          <w:color w:val="231F20"/>
          <w:spacing w:val="-6"/>
          <w:w w:val="105"/>
        </w:rPr>
        <w:t> </w:t>
      </w:r>
      <w:r>
        <w:rPr>
          <w:color w:val="231F20"/>
          <w:w w:val="105"/>
        </w:rPr>
        <w:t>to</w:t>
      </w:r>
      <w:r>
        <w:rPr>
          <w:color w:val="231F20"/>
          <w:spacing w:val="-6"/>
          <w:w w:val="105"/>
        </w:rPr>
        <w:t> </w:t>
      </w:r>
      <w:r>
        <w:rPr>
          <w:color w:val="231F20"/>
          <w:w w:val="105"/>
        </w:rPr>
        <w:t>arrange</w:t>
      </w:r>
      <w:r>
        <w:rPr>
          <w:color w:val="231F20"/>
          <w:spacing w:val="-6"/>
          <w:w w:val="105"/>
        </w:rPr>
        <w:t> </w:t>
      </w:r>
      <w:r>
        <w:rPr>
          <w:color w:val="231F20"/>
          <w:spacing w:val="-3"/>
          <w:w w:val="105"/>
        </w:rPr>
        <w:t>for</w:t>
      </w:r>
      <w:r>
        <w:rPr>
          <w:color w:val="231F20"/>
          <w:spacing w:val="-5"/>
          <w:w w:val="105"/>
        </w:rPr>
        <w:t> </w:t>
      </w:r>
      <w:r>
        <w:rPr>
          <w:color w:val="231F20"/>
          <w:w w:val="105"/>
        </w:rPr>
        <w:t>BNY</w:t>
      </w:r>
      <w:r>
        <w:rPr>
          <w:color w:val="231F20"/>
          <w:spacing w:val="-6"/>
          <w:w w:val="105"/>
        </w:rPr>
        <w:t> </w:t>
      </w:r>
      <w:r>
        <w:rPr>
          <w:color w:val="231F20"/>
          <w:w w:val="105"/>
        </w:rPr>
        <w:t>Mellon</w:t>
      </w:r>
      <w:r>
        <w:rPr>
          <w:color w:val="231F20"/>
          <w:spacing w:val="-6"/>
          <w:w w:val="105"/>
        </w:rPr>
        <w:t> </w:t>
      </w:r>
      <w:r>
        <w:rPr>
          <w:color w:val="231F20"/>
          <w:w w:val="105"/>
        </w:rPr>
        <w:t>to</w:t>
      </w:r>
      <w:r>
        <w:rPr>
          <w:color w:val="231F20"/>
          <w:spacing w:val="-6"/>
          <w:w w:val="105"/>
        </w:rPr>
        <w:t> </w:t>
      </w:r>
      <w:r>
        <w:rPr>
          <w:color w:val="231F20"/>
          <w:w w:val="105"/>
        </w:rPr>
        <w:t>vote</w:t>
      </w:r>
      <w:r>
        <w:rPr>
          <w:color w:val="231F20"/>
          <w:spacing w:val="-5"/>
          <w:w w:val="105"/>
        </w:rPr>
        <w:t> </w:t>
      </w:r>
      <w:r>
        <w:rPr>
          <w:color w:val="231F20"/>
          <w:w w:val="105"/>
        </w:rPr>
        <w:t>the</w:t>
      </w:r>
      <w:r>
        <w:rPr>
          <w:color w:val="231F20"/>
          <w:spacing w:val="-6"/>
          <w:w w:val="105"/>
        </w:rPr>
        <w:t> </w:t>
      </w:r>
      <w:r>
        <w:rPr>
          <w:color w:val="231F20"/>
          <w:w w:val="105"/>
        </w:rPr>
        <w:t>ordinary</w:t>
      </w:r>
      <w:r>
        <w:rPr>
          <w:color w:val="231F20"/>
          <w:spacing w:val="-6"/>
          <w:w w:val="105"/>
        </w:rPr>
        <w:t> </w:t>
      </w:r>
      <w:r>
        <w:rPr>
          <w:color w:val="231F20"/>
          <w:w w:val="105"/>
        </w:rPr>
        <w:t>shares</w:t>
      </w:r>
      <w:r>
        <w:rPr>
          <w:color w:val="231F20"/>
          <w:spacing w:val="-6"/>
          <w:w w:val="105"/>
        </w:rPr>
        <w:t> </w:t>
      </w:r>
      <w:r>
        <w:rPr>
          <w:color w:val="231F20"/>
          <w:w w:val="105"/>
        </w:rPr>
        <w:t>represented</w:t>
      </w:r>
      <w:r>
        <w:rPr>
          <w:color w:val="231F20"/>
          <w:spacing w:val="-5"/>
          <w:w w:val="105"/>
        </w:rPr>
        <w:t> </w:t>
      </w:r>
      <w:r>
        <w:rPr>
          <w:color w:val="231F20"/>
          <w:w w:val="105"/>
        </w:rPr>
        <w:t>by</w:t>
      </w:r>
      <w:r>
        <w:rPr>
          <w:color w:val="231F20"/>
          <w:spacing w:val="-6"/>
          <w:w w:val="105"/>
        </w:rPr>
        <w:t> </w:t>
      </w:r>
      <w:r>
        <w:rPr>
          <w:color w:val="231F20"/>
          <w:w w:val="105"/>
        </w:rPr>
        <w:t>the</w:t>
      </w:r>
      <w:r>
        <w:rPr>
          <w:color w:val="231F20"/>
          <w:spacing w:val="-6"/>
          <w:w w:val="105"/>
        </w:rPr>
        <w:t> </w:t>
      </w:r>
      <w:r>
        <w:rPr>
          <w:color w:val="231F20"/>
          <w:w w:val="105"/>
        </w:rPr>
        <w:t>ADSs</w:t>
      </w:r>
      <w:r>
        <w:rPr>
          <w:color w:val="231F20"/>
          <w:spacing w:val="-6"/>
          <w:w w:val="105"/>
        </w:rPr>
        <w:t> </w:t>
      </w:r>
      <w:r>
        <w:rPr>
          <w:color w:val="231F20"/>
          <w:w w:val="105"/>
        </w:rPr>
        <w:t>in</w:t>
      </w:r>
      <w:r>
        <w:rPr>
          <w:color w:val="231F20"/>
          <w:spacing w:val="-5"/>
          <w:w w:val="105"/>
        </w:rPr>
        <w:t> </w:t>
      </w:r>
      <w:r>
        <w:rPr>
          <w:color w:val="231F20"/>
          <w:w w:val="105"/>
        </w:rPr>
        <w:t>accordance with the beneficial </w:t>
      </w:r>
      <w:r>
        <w:rPr>
          <w:color w:val="231F20"/>
          <w:spacing w:val="-3"/>
          <w:w w:val="105"/>
        </w:rPr>
        <w:t>holder’s </w:t>
      </w:r>
      <w:r>
        <w:rPr>
          <w:color w:val="231F20"/>
          <w:w w:val="105"/>
        </w:rPr>
        <w:t>voting instructions. Holders of our ordinary shares must be registered with our share </w:t>
      </w:r>
      <w:r>
        <w:rPr>
          <w:color w:val="231F20"/>
          <w:spacing w:val="-3"/>
          <w:w w:val="105"/>
        </w:rPr>
        <w:t>register, </w:t>
      </w:r>
      <w:r>
        <w:rPr>
          <w:color w:val="231F20"/>
          <w:w w:val="105"/>
        </w:rPr>
        <w:t>Computershare Schweiz </w:t>
      </w:r>
      <w:r>
        <w:rPr>
          <w:color w:val="231F20"/>
          <w:spacing w:val="-6"/>
          <w:w w:val="105"/>
        </w:rPr>
        <w:t>AG </w:t>
      </w:r>
      <w:r>
        <w:rPr>
          <w:color w:val="231F20"/>
          <w:w w:val="105"/>
        </w:rPr>
        <w:t>(“</w:t>
      </w:r>
      <w:r>
        <w:rPr>
          <w:b/>
          <w:color w:val="231F20"/>
          <w:w w:val="105"/>
        </w:rPr>
        <w:t>Computershare</w:t>
      </w:r>
      <w:r>
        <w:rPr>
          <w:color w:val="231F20"/>
          <w:w w:val="105"/>
        </w:rPr>
        <w:t>”), by the </w:t>
      </w:r>
      <w:r>
        <w:rPr>
          <w:color w:val="231F20"/>
          <w:spacing w:val="-3"/>
          <w:w w:val="105"/>
        </w:rPr>
        <w:t>Record </w:t>
      </w:r>
      <w:r>
        <w:rPr>
          <w:color w:val="231F20"/>
          <w:spacing w:val="-4"/>
          <w:w w:val="105"/>
        </w:rPr>
        <w:t>Date. </w:t>
      </w:r>
      <w:r>
        <w:rPr>
          <w:color w:val="231F20"/>
          <w:spacing w:val="-11"/>
          <w:w w:val="105"/>
        </w:rPr>
        <w:t>To </w:t>
      </w:r>
      <w:r>
        <w:rPr>
          <w:color w:val="231F20"/>
          <w:w w:val="105"/>
        </w:rPr>
        <w:t>be registered with Computershare, such shareholder should request his or her custody bank to submit a registration request</w:t>
      </w:r>
    </w:p>
    <w:p>
      <w:pPr>
        <w:pStyle w:val="BodyText"/>
        <w:spacing w:line="247" w:lineRule="auto" w:before="3"/>
        <w:ind w:left="1090" w:right="1386"/>
      </w:pPr>
      <w:r>
        <w:rPr>
          <w:color w:val="231F20"/>
          <w:w w:val="105"/>
        </w:rPr>
        <w:t>to Computershare through a SIX SIS Ltd. member institution. Once a shareholder is registered with Computershare, such shareholder can participate and vote in the Meeting by attending the meeting in  person or by completing and returning to us a </w:t>
      </w:r>
      <w:r>
        <w:rPr>
          <w:color w:val="231F20"/>
          <w:spacing w:val="-3"/>
          <w:w w:val="105"/>
        </w:rPr>
        <w:t>proxy </w:t>
      </w:r>
      <w:r>
        <w:rPr>
          <w:color w:val="231F20"/>
          <w:w w:val="105"/>
        </w:rPr>
        <w:t>or the Ballot </w:t>
      </w:r>
      <w:r>
        <w:rPr>
          <w:color w:val="231F20"/>
          <w:spacing w:val="-4"/>
          <w:w w:val="105"/>
        </w:rPr>
        <w:t>available </w:t>
      </w:r>
      <w:r>
        <w:rPr>
          <w:color w:val="231F20"/>
          <w:w w:val="105"/>
        </w:rPr>
        <w:t>on our website </w:t>
      </w:r>
      <w:r>
        <w:rPr>
          <w:color w:val="231F20"/>
          <w:spacing w:val="-3"/>
          <w:w w:val="105"/>
        </w:rPr>
        <w:t>at </w:t>
      </w:r>
      <w:hyperlink r:id="rId8">
        <w:r>
          <w:rPr>
            <w:color w:val="231F20"/>
            <w:w w:val="105"/>
          </w:rPr>
          <w:t>https://ww</w:t>
        </w:r>
      </w:hyperlink>
      <w:r>
        <w:rPr>
          <w:color w:val="231F20"/>
          <w:w w:val="105"/>
        </w:rPr>
        <w:t>w.shl-te</w:t>
      </w:r>
      <w:hyperlink r:id="rId8">
        <w:r>
          <w:rPr>
            <w:color w:val="231F20"/>
            <w:w w:val="105"/>
          </w:rPr>
          <w:t>lemedicine.com/general-meeting </w:t>
        </w:r>
      </w:hyperlink>
      <w:r>
        <w:rPr>
          <w:color w:val="231F20"/>
          <w:w w:val="105"/>
        </w:rPr>
        <w:t>and on the website of the SEC </w:t>
      </w:r>
      <w:r>
        <w:rPr>
          <w:color w:val="231F20"/>
          <w:spacing w:val="-3"/>
          <w:w w:val="105"/>
        </w:rPr>
        <w:t>at </w:t>
      </w:r>
      <w:hyperlink r:id="rId9">
        <w:r>
          <w:rPr>
            <w:color w:val="231F20"/>
            <w:spacing w:val="-4"/>
            <w:w w:val="105"/>
          </w:rPr>
          <w:t>www.sec.gov. </w:t>
        </w:r>
      </w:hyperlink>
      <w:r>
        <w:rPr>
          <w:color w:val="231F20"/>
          <w:w w:val="105"/>
        </w:rPr>
        <w:t>Kindly note that no hard copies will be mailed to holders of our ordinary shares, </w:t>
      </w:r>
      <w:r>
        <w:rPr>
          <w:color w:val="231F20"/>
          <w:spacing w:val="-3"/>
          <w:w w:val="105"/>
        </w:rPr>
        <w:t>however </w:t>
      </w:r>
      <w:r>
        <w:rPr>
          <w:color w:val="231F20"/>
          <w:w w:val="105"/>
        </w:rPr>
        <w:t>if such a shareholder requests that we mail it hard copies of the materials we will do so </w:t>
      </w:r>
      <w:r>
        <w:rPr>
          <w:color w:val="231F20"/>
          <w:spacing w:val="-3"/>
          <w:w w:val="105"/>
        </w:rPr>
        <w:t>at </w:t>
      </w:r>
      <w:r>
        <w:rPr>
          <w:color w:val="231F20"/>
          <w:w w:val="105"/>
        </w:rPr>
        <w:t>no </w:t>
      </w:r>
      <w:r>
        <w:rPr>
          <w:color w:val="231F20"/>
          <w:spacing w:val="-3"/>
          <w:w w:val="105"/>
        </w:rPr>
        <w:t>charge. </w:t>
      </w:r>
      <w:r>
        <w:rPr>
          <w:color w:val="231F20"/>
          <w:w w:val="105"/>
        </w:rPr>
        <w:t>Each </w:t>
      </w:r>
      <w:r>
        <w:rPr>
          <w:color w:val="231F20"/>
          <w:spacing w:val="-3"/>
          <w:w w:val="105"/>
        </w:rPr>
        <w:t>proxy </w:t>
      </w:r>
      <w:r>
        <w:rPr>
          <w:color w:val="231F20"/>
          <w:w w:val="105"/>
        </w:rPr>
        <w:t>or Ballot must be delivered to our Chief Financial Officer </w:t>
      </w:r>
      <w:r>
        <w:rPr>
          <w:color w:val="231F20"/>
          <w:spacing w:val="-3"/>
          <w:w w:val="105"/>
        </w:rPr>
        <w:t>at </w:t>
      </w:r>
      <w:r>
        <w:rPr>
          <w:color w:val="231F20"/>
          <w:w w:val="105"/>
        </w:rPr>
        <w:t>Ashdar Building — 2</w:t>
      </w:r>
      <w:r>
        <w:rPr>
          <w:color w:val="231F20"/>
          <w:w w:val="105"/>
          <w:vertAlign w:val="superscript"/>
        </w:rPr>
        <w:t>nd</w:t>
      </w:r>
      <w:r>
        <w:rPr>
          <w:color w:val="231F20"/>
          <w:w w:val="105"/>
          <w:vertAlign w:val="baseline"/>
        </w:rPr>
        <w:t> </w:t>
      </w:r>
      <w:r>
        <w:rPr>
          <w:color w:val="231F20"/>
          <w:spacing w:val="-4"/>
          <w:w w:val="105"/>
          <w:vertAlign w:val="baseline"/>
        </w:rPr>
        <w:t>Floor, </w:t>
      </w:r>
      <w:r>
        <w:rPr>
          <w:color w:val="231F20"/>
          <w:w w:val="105"/>
          <w:vertAlign w:val="baseline"/>
        </w:rPr>
        <w:t>90 </w:t>
      </w:r>
      <w:r>
        <w:rPr>
          <w:color w:val="231F20"/>
          <w:spacing w:val="-4"/>
          <w:w w:val="105"/>
          <w:vertAlign w:val="baseline"/>
        </w:rPr>
        <w:t>Yigal </w:t>
      </w:r>
      <w:r>
        <w:rPr>
          <w:color w:val="231F20"/>
          <w:w w:val="105"/>
          <w:vertAlign w:val="baseline"/>
        </w:rPr>
        <w:t>Alon Street, </w:t>
      </w:r>
      <w:r>
        <w:rPr>
          <w:color w:val="231F20"/>
          <w:spacing w:val="-6"/>
          <w:w w:val="105"/>
          <w:vertAlign w:val="baseline"/>
        </w:rPr>
        <w:t>Tel </w:t>
      </w:r>
      <w:r>
        <w:rPr>
          <w:color w:val="231F20"/>
          <w:spacing w:val="-9"/>
          <w:w w:val="105"/>
          <w:vertAlign w:val="baseline"/>
        </w:rPr>
        <w:t>Aviv, </w:t>
      </w:r>
      <w:r>
        <w:rPr>
          <w:color w:val="231F20"/>
          <w:w w:val="105"/>
          <w:vertAlign w:val="baseline"/>
        </w:rPr>
        <w:t>Israel,</w:t>
      </w:r>
      <w:r>
        <w:rPr>
          <w:color w:val="231F20"/>
          <w:spacing w:val="-7"/>
          <w:w w:val="105"/>
          <w:vertAlign w:val="baseline"/>
        </w:rPr>
        <w:t> </w:t>
      </w:r>
      <w:r>
        <w:rPr>
          <w:color w:val="231F20"/>
          <w:w w:val="105"/>
          <w:vertAlign w:val="baseline"/>
        </w:rPr>
        <w:t>or</w:t>
      </w:r>
      <w:r>
        <w:rPr>
          <w:color w:val="231F20"/>
          <w:spacing w:val="-7"/>
          <w:w w:val="105"/>
          <w:vertAlign w:val="baseline"/>
        </w:rPr>
        <w:t> </w:t>
      </w:r>
      <w:r>
        <w:rPr>
          <w:color w:val="231F20"/>
          <w:w w:val="105"/>
          <w:vertAlign w:val="baseline"/>
        </w:rPr>
        <w:t>by</w:t>
      </w:r>
      <w:r>
        <w:rPr>
          <w:color w:val="231F20"/>
          <w:spacing w:val="-7"/>
          <w:w w:val="105"/>
          <w:vertAlign w:val="baseline"/>
        </w:rPr>
        <w:t> </w:t>
      </w:r>
      <w:r>
        <w:rPr>
          <w:color w:val="231F20"/>
          <w:w w:val="105"/>
          <w:vertAlign w:val="baseline"/>
        </w:rPr>
        <w:t>email</w:t>
      </w:r>
      <w:r>
        <w:rPr>
          <w:color w:val="231F20"/>
          <w:spacing w:val="-7"/>
          <w:w w:val="105"/>
          <w:vertAlign w:val="baseline"/>
        </w:rPr>
        <w:t> </w:t>
      </w:r>
      <w:r>
        <w:rPr>
          <w:color w:val="231F20"/>
          <w:w w:val="105"/>
          <w:vertAlign w:val="baseline"/>
        </w:rPr>
        <w:t>to</w:t>
      </w:r>
      <w:r>
        <w:rPr>
          <w:color w:val="231F20"/>
          <w:spacing w:val="-7"/>
          <w:w w:val="105"/>
          <w:vertAlign w:val="baseline"/>
        </w:rPr>
        <w:t> </w:t>
      </w:r>
      <w:hyperlink r:id="rId10">
        <w:r>
          <w:rPr>
            <w:color w:val="231F20"/>
            <w:w w:val="105"/>
            <w:vertAlign w:val="baseline"/>
          </w:rPr>
          <w:t>amirh@shahal.co.il,</w:t>
        </w:r>
        <w:r>
          <w:rPr>
            <w:color w:val="231F20"/>
            <w:spacing w:val="-7"/>
            <w:w w:val="105"/>
            <w:vertAlign w:val="baseline"/>
          </w:rPr>
          <w:t> </w:t>
        </w:r>
      </w:hyperlink>
      <w:r>
        <w:rPr>
          <w:color w:val="231F20"/>
          <w:w w:val="105"/>
          <w:vertAlign w:val="baseline"/>
        </w:rPr>
        <w:t>and</w:t>
      </w:r>
      <w:r>
        <w:rPr>
          <w:color w:val="231F20"/>
          <w:spacing w:val="-6"/>
          <w:w w:val="105"/>
          <w:vertAlign w:val="baseline"/>
        </w:rPr>
        <w:t> </w:t>
      </w:r>
      <w:r>
        <w:rPr>
          <w:color w:val="231F20"/>
          <w:w w:val="105"/>
          <w:vertAlign w:val="baseline"/>
        </w:rPr>
        <w:t>received</w:t>
      </w:r>
      <w:r>
        <w:rPr>
          <w:color w:val="231F20"/>
          <w:spacing w:val="-7"/>
          <w:w w:val="105"/>
          <w:vertAlign w:val="baseline"/>
        </w:rPr>
        <w:t> </w:t>
      </w:r>
      <w:r>
        <w:rPr>
          <w:color w:val="231F20"/>
          <w:w w:val="105"/>
          <w:vertAlign w:val="baseline"/>
        </w:rPr>
        <w:t>no</w:t>
      </w:r>
      <w:r>
        <w:rPr>
          <w:color w:val="231F20"/>
          <w:spacing w:val="-7"/>
          <w:w w:val="105"/>
          <w:vertAlign w:val="baseline"/>
        </w:rPr>
        <w:t> </w:t>
      </w:r>
      <w:r>
        <w:rPr>
          <w:color w:val="231F20"/>
          <w:w w:val="105"/>
          <w:vertAlign w:val="baseline"/>
        </w:rPr>
        <w:t>later</w:t>
      </w:r>
      <w:r>
        <w:rPr>
          <w:color w:val="231F20"/>
          <w:spacing w:val="-7"/>
          <w:w w:val="105"/>
          <w:vertAlign w:val="baseline"/>
        </w:rPr>
        <w:t> </w:t>
      </w:r>
      <w:r>
        <w:rPr>
          <w:color w:val="231F20"/>
          <w:w w:val="105"/>
          <w:vertAlign w:val="baseline"/>
        </w:rPr>
        <w:t>than</w:t>
      </w:r>
      <w:r>
        <w:rPr>
          <w:color w:val="231F20"/>
          <w:spacing w:val="-7"/>
          <w:w w:val="105"/>
          <w:vertAlign w:val="baseline"/>
        </w:rPr>
        <w:t> </w:t>
      </w:r>
      <w:r>
        <w:rPr>
          <w:color w:val="231F20"/>
          <w:w w:val="105"/>
          <w:vertAlign w:val="baseline"/>
        </w:rPr>
        <w:t>forty-eight</w:t>
      </w:r>
      <w:r>
        <w:rPr>
          <w:color w:val="231F20"/>
          <w:spacing w:val="-7"/>
          <w:w w:val="105"/>
          <w:vertAlign w:val="baseline"/>
        </w:rPr>
        <w:t> </w:t>
      </w:r>
      <w:r>
        <w:rPr>
          <w:color w:val="231F20"/>
          <w:w w:val="105"/>
          <w:vertAlign w:val="baseline"/>
        </w:rPr>
        <w:t>(48)</w:t>
      </w:r>
      <w:r>
        <w:rPr>
          <w:color w:val="231F20"/>
          <w:spacing w:val="-7"/>
          <w:w w:val="105"/>
          <w:vertAlign w:val="baseline"/>
        </w:rPr>
        <w:t> </w:t>
      </w:r>
      <w:r>
        <w:rPr>
          <w:color w:val="231F20"/>
          <w:w w:val="105"/>
          <w:vertAlign w:val="baseline"/>
        </w:rPr>
        <w:t>hours</w:t>
      </w:r>
      <w:r>
        <w:rPr>
          <w:color w:val="231F20"/>
          <w:spacing w:val="-6"/>
          <w:w w:val="105"/>
          <w:vertAlign w:val="baseline"/>
        </w:rPr>
        <w:t> </w:t>
      </w:r>
      <w:r>
        <w:rPr>
          <w:color w:val="231F20"/>
          <w:w w:val="105"/>
          <w:vertAlign w:val="baseline"/>
        </w:rPr>
        <w:t>and</w:t>
      </w:r>
      <w:r>
        <w:rPr>
          <w:color w:val="231F20"/>
          <w:spacing w:val="-7"/>
          <w:w w:val="105"/>
          <w:vertAlign w:val="baseline"/>
        </w:rPr>
        <w:t> </w:t>
      </w:r>
      <w:r>
        <w:rPr>
          <w:color w:val="231F20"/>
          <w:w w:val="105"/>
          <w:vertAlign w:val="baseline"/>
        </w:rPr>
        <w:t>four</w:t>
      </w:r>
      <w:r>
        <w:rPr>
          <w:color w:val="231F20"/>
          <w:spacing w:val="-7"/>
          <w:w w:val="105"/>
          <w:vertAlign w:val="baseline"/>
        </w:rPr>
        <w:t> </w:t>
      </w:r>
      <w:r>
        <w:rPr>
          <w:color w:val="231F20"/>
          <w:w w:val="105"/>
          <w:vertAlign w:val="baseline"/>
        </w:rPr>
        <w:t>(4)</w:t>
      </w:r>
      <w:r>
        <w:rPr>
          <w:color w:val="231F20"/>
          <w:spacing w:val="-7"/>
          <w:w w:val="105"/>
          <w:vertAlign w:val="baseline"/>
        </w:rPr>
        <w:t> </w:t>
      </w:r>
      <w:r>
        <w:rPr>
          <w:color w:val="231F20"/>
          <w:w w:val="105"/>
          <w:vertAlign w:val="baseline"/>
        </w:rPr>
        <w:t>hours, </w:t>
      </w:r>
      <w:r>
        <w:rPr>
          <w:color w:val="231F20"/>
          <w:spacing w:val="-3"/>
          <w:w w:val="105"/>
          <w:vertAlign w:val="baseline"/>
        </w:rPr>
        <w:t>respectively, </w:t>
      </w:r>
      <w:r>
        <w:rPr>
          <w:color w:val="231F20"/>
          <w:w w:val="105"/>
          <w:vertAlign w:val="baseline"/>
        </w:rPr>
        <w:t>prior to the scheduled date and time of the Meeting. The </w:t>
      </w:r>
      <w:r>
        <w:rPr>
          <w:color w:val="231F20"/>
          <w:spacing w:val="-3"/>
          <w:w w:val="105"/>
          <w:vertAlign w:val="baseline"/>
        </w:rPr>
        <w:t>proxy </w:t>
      </w:r>
      <w:r>
        <w:rPr>
          <w:color w:val="231F20"/>
          <w:w w:val="105"/>
          <w:vertAlign w:val="baseline"/>
        </w:rPr>
        <w:t>or Ballot (as applicable), if executed and sent, should be in the name of a person who is attending the Meeting. The shareholder must </w:t>
      </w:r>
      <w:r>
        <w:rPr>
          <w:color w:val="231F20"/>
          <w:spacing w:val="-3"/>
          <w:w w:val="105"/>
          <w:vertAlign w:val="baseline"/>
        </w:rPr>
        <w:t>also</w:t>
      </w:r>
      <w:r>
        <w:rPr>
          <w:color w:val="231F20"/>
          <w:spacing w:val="-5"/>
          <w:w w:val="105"/>
          <w:vertAlign w:val="baseline"/>
        </w:rPr>
        <w:t> </w:t>
      </w:r>
      <w:r>
        <w:rPr>
          <w:color w:val="231F20"/>
          <w:w w:val="105"/>
          <w:vertAlign w:val="baseline"/>
        </w:rPr>
        <w:t>enclose</w:t>
      </w:r>
      <w:r>
        <w:rPr>
          <w:color w:val="231F20"/>
          <w:spacing w:val="-4"/>
          <w:w w:val="105"/>
          <w:vertAlign w:val="baseline"/>
        </w:rPr>
        <w:t> </w:t>
      </w:r>
      <w:r>
        <w:rPr>
          <w:color w:val="231F20"/>
          <w:w w:val="105"/>
          <w:vertAlign w:val="baseline"/>
        </w:rPr>
        <w:t>a</w:t>
      </w:r>
      <w:r>
        <w:rPr>
          <w:color w:val="231F20"/>
          <w:spacing w:val="-5"/>
          <w:w w:val="105"/>
          <w:vertAlign w:val="baseline"/>
        </w:rPr>
        <w:t> </w:t>
      </w:r>
      <w:r>
        <w:rPr>
          <w:color w:val="231F20"/>
          <w:w w:val="105"/>
          <w:vertAlign w:val="baseline"/>
        </w:rPr>
        <w:t>written</w:t>
      </w:r>
      <w:r>
        <w:rPr>
          <w:color w:val="231F20"/>
          <w:spacing w:val="-4"/>
          <w:w w:val="105"/>
          <w:vertAlign w:val="baseline"/>
        </w:rPr>
        <w:t> </w:t>
      </w:r>
      <w:r>
        <w:rPr>
          <w:color w:val="231F20"/>
          <w:w w:val="105"/>
          <w:vertAlign w:val="baseline"/>
        </w:rPr>
        <w:t>confirmation</w:t>
      </w:r>
      <w:r>
        <w:rPr>
          <w:color w:val="231F20"/>
          <w:spacing w:val="-5"/>
          <w:w w:val="105"/>
          <w:vertAlign w:val="baseline"/>
        </w:rPr>
        <w:t> </w:t>
      </w:r>
      <w:r>
        <w:rPr>
          <w:color w:val="231F20"/>
          <w:w w:val="105"/>
          <w:vertAlign w:val="baseline"/>
        </w:rPr>
        <w:t>from</w:t>
      </w:r>
      <w:r>
        <w:rPr>
          <w:color w:val="231F20"/>
          <w:spacing w:val="-4"/>
          <w:w w:val="105"/>
          <w:vertAlign w:val="baseline"/>
        </w:rPr>
        <w:t> </w:t>
      </w:r>
      <w:r>
        <w:rPr>
          <w:color w:val="231F20"/>
          <w:w w:val="105"/>
          <w:vertAlign w:val="baseline"/>
        </w:rPr>
        <w:t>Computershare</w:t>
      </w:r>
      <w:r>
        <w:rPr>
          <w:color w:val="231F20"/>
          <w:spacing w:val="-5"/>
          <w:w w:val="105"/>
          <w:vertAlign w:val="baseline"/>
        </w:rPr>
        <w:t> </w:t>
      </w:r>
      <w:r>
        <w:rPr>
          <w:color w:val="231F20"/>
          <w:w w:val="105"/>
          <w:vertAlign w:val="baseline"/>
        </w:rPr>
        <w:t>Schweiz</w:t>
      </w:r>
      <w:r>
        <w:rPr>
          <w:color w:val="231F20"/>
          <w:spacing w:val="-4"/>
          <w:w w:val="105"/>
          <w:vertAlign w:val="baseline"/>
        </w:rPr>
        <w:t> </w:t>
      </w:r>
      <w:r>
        <w:rPr>
          <w:color w:val="231F20"/>
          <w:spacing w:val="-6"/>
          <w:w w:val="105"/>
          <w:vertAlign w:val="baseline"/>
        </w:rPr>
        <w:t>AG</w:t>
      </w:r>
      <w:r>
        <w:rPr>
          <w:color w:val="231F20"/>
          <w:spacing w:val="-5"/>
          <w:w w:val="105"/>
          <w:vertAlign w:val="baseline"/>
        </w:rPr>
        <w:t> </w:t>
      </w:r>
      <w:r>
        <w:rPr>
          <w:color w:val="231F20"/>
          <w:w w:val="105"/>
          <w:vertAlign w:val="baseline"/>
        </w:rPr>
        <w:t>as</w:t>
      </w:r>
      <w:r>
        <w:rPr>
          <w:color w:val="231F20"/>
          <w:spacing w:val="-4"/>
          <w:w w:val="105"/>
          <w:vertAlign w:val="baseline"/>
        </w:rPr>
        <w:t> </w:t>
      </w:r>
      <w:r>
        <w:rPr>
          <w:color w:val="231F20"/>
          <w:w w:val="105"/>
          <w:vertAlign w:val="baseline"/>
        </w:rPr>
        <w:t>to</w:t>
      </w:r>
      <w:r>
        <w:rPr>
          <w:color w:val="231F20"/>
          <w:spacing w:val="-5"/>
          <w:w w:val="105"/>
          <w:vertAlign w:val="baseline"/>
        </w:rPr>
        <w:t> </w:t>
      </w:r>
      <w:r>
        <w:rPr>
          <w:color w:val="231F20"/>
          <w:w w:val="105"/>
          <w:vertAlign w:val="baseline"/>
        </w:rPr>
        <w:t>its</w:t>
      </w:r>
      <w:r>
        <w:rPr>
          <w:color w:val="231F20"/>
          <w:spacing w:val="-4"/>
          <w:w w:val="105"/>
          <w:vertAlign w:val="baseline"/>
        </w:rPr>
        <w:t> </w:t>
      </w:r>
      <w:r>
        <w:rPr>
          <w:color w:val="231F20"/>
          <w:w w:val="105"/>
          <w:vertAlign w:val="baseline"/>
        </w:rPr>
        <w:t>ownership</w:t>
      </w:r>
      <w:r>
        <w:rPr>
          <w:color w:val="231F20"/>
          <w:spacing w:val="-5"/>
          <w:w w:val="105"/>
          <w:vertAlign w:val="baseline"/>
        </w:rPr>
        <w:t> </w:t>
      </w:r>
      <w:r>
        <w:rPr>
          <w:color w:val="231F20"/>
          <w:w w:val="105"/>
          <w:vertAlign w:val="baseline"/>
        </w:rPr>
        <w:t>of</w:t>
      </w:r>
      <w:r>
        <w:rPr>
          <w:color w:val="231F20"/>
          <w:spacing w:val="16"/>
          <w:w w:val="105"/>
          <w:vertAlign w:val="baseline"/>
        </w:rPr>
        <w:t> </w:t>
      </w:r>
      <w:r>
        <w:rPr>
          <w:color w:val="231F20"/>
          <w:w w:val="105"/>
          <w:vertAlign w:val="baseline"/>
        </w:rPr>
        <w:t>the</w:t>
      </w:r>
      <w:r>
        <w:rPr>
          <w:color w:val="231F20"/>
          <w:spacing w:val="-4"/>
          <w:w w:val="105"/>
          <w:vertAlign w:val="baseline"/>
        </w:rPr>
        <w:t> </w:t>
      </w:r>
      <w:r>
        <w:rPr>
          <w:color w:val="231F20"/>
          <w:w w:val="105"/>
          <w:vertAlign w:val="baseline"/>
        </w:rPr>
        <w:t>shares</w:t>
      </w:r>
      <w:r>
        <w:rPr>
          <w:color w:val="231F20"/>
          <w:spacing w:val="-5"/>
          <w:w w:val="105"/>
          <w:vertAlign w:val="baseline"/>
        </w:rPr>
        <w:t> </w:t>
      </w:r>
      <w:r>
        <w:rPr>
          <w:color w:val="231F20"/>
          <w:w w:val="105"/>
          <w:vertAlign w:val="baseline"/>
        </w:rPr>
        <w:t>on</w:t>
      </w:r>
      <w:r>
        <w:rPr>
          <w:color w:val="231F20"/>
          <w:spacing w:val="-4"/>
          <w:w w:val="105"/>
          <w:vertAlign w:val="baseline"/>
        </w:rPr>
        <w:t> the </w:t>
      </w:r>
      <w:r>
        <w:rPr>
          <w:color w:val="231F20"/>
          <w:spacing w:val="-3"/>
          <w:w w:val="105"/>
          <w:vertAlign w:val="baseline"/>
        </w:rPr>
        <w:t>Record</w:t>
      </w:r>
      <w:r>
        <w:rPr>
          <w:color w:val="231F20"/>
          <w:spacing w:val="10"/>
          <w:w w:val="105"/>
          <w:vertAlign w:val="baseline"/>
        </w:rPr>
        <w:t> </w:t>
      </w:r>
      <w:r>
        <w:rPr>
          <w:color w:val="231F20"/>
          <w:spacing w:val="-4"/>
          <w:w w:val="105"/>
          <w:vertAlign w:val="baseline"/>
        </w:rPr>
        <w:t>Date.</w:t>
      </w:r>
      <w:r>
        <w:rPr>
          <w:color w:val="231F20"/>
          <w:spacing w:val="10"/>
          <w:w w:val="105"/>
          <w:vertAlign w:val="baseline"/>
        </w:rPr>
        <w:t> </w:t>
      </w:r>
      <w:r>
        <w:rPr>
          <w:color w:val="231F20"/>
          <w:w w:val="105"/>
          <w:vertAlign w:val="baseline"/>
        </w:rPr>
        <w:t>Such</w:t>
      </w:r>
      <w:r>
        <w:rPr>
          <w:color w:val="231F20"/>
          <w:spacing w:val="11"/>
          <w:w w:val="105"/>
          <w:vertAlign w:val="baseline"/>
        </w:rPr>
        <w:t> </w:t>
      </w:r>
      <w:r>
        <w:rPr>
          <w:color w:val="231F20"/>
          <w:w w:val="105"/>
          <w:vertAlign w:val="baseline"/>
        </w:rPr>
        <w:t>confirmation</w:t>
      </w:r>
      <w:r>
        <w:rPr>
          <w:color w:val="231F20"/>
          <w:spacing w:val="10"/>
          <w:w w:val="105"/>
          <w:vertAlign w:val="baseline"/>
        </w:rPr>
        <w:t> </w:t>
      </w:r>
      <w:r>
        <w:rPr>
          <w:color w:val="231F20"/>
          <w:w w:val="105"/>
          <w:vertAlign w:val="baseline"/>
        </w:rPr>
        <w:t>can</w:t>
      </w:r>
      <w:r>
        <w:rPr>
          <w:color w:val="231F20"/>
          <w:spacing w:val="11"/>
          <w:w w:val="105"/>
          <w:vertAlign w:val="baseline"/>
        </w:rPr>
        <w:t> </w:t>
      </w:r>
      <w:r>
        <w:rPr>
          <w:color w:val="231F20"/>
          <w:w w:val="105"/>
          <w:vertAlign w:val="baseline"/>
        </w:rPr>
        <w:t>be</w:t>
      </w:r>
      <w:r>
        <w:rPr>
          <w:color w:val="231F20"/>
          <w:spacing w:val="10"/>
          <w:w w:val="105"/>
          <w:vertAlign w:val="baseline"/>
        </w:rPr>
        <w:t> </w:t>
      </w:r>
      <w:r>
        <w:rPr>
          <w:color w:val="231F20"/>
          <w:w w:val="105"/>
          <w:vertAlign w:val="baseline"/>
        </w:rPr>
        <w:t>obtained</w:t>
      </w:r>
      <w:r>
        <w:rPr>
          <w:color w:val="231F20"/>
          <w:spacing w:val="10"/>
          <w:w w:val="105"/>
          <w:vertAlign w:val="baseline"/>
        </w:rPr>
        <w:t> </w:t>
      </w:r>
      <w:r>
        <w:rPr>
          <w:color w:val="231F20"/>
          <w:w w:val="105"/>
          <w:vertAlign w:val="baseline"/>
        </w:rPr>
        <w:t>from</w:t>
      </w:r>
      <w:r>
        <w:rPr>
          <w:color w:val="231F20"/>
          <w:spacing w:val="11"/>
          <w:w w:val="105"/>
          <w:vertAlign w:val="baseline"/>
        </w:rPr>
        <w:t> </w:t>
      </w:r>
      <w:r>
        <w:rPr>
          <w:color w:val="231F20"/>
          <w:w w:val="105"/>
          <w:vertAlign w:val="baseline"/>
        </w:rPr>
        <w:t>Computershare</w:t>
      </w:r>
      <w:r>
        <w:rPr>
          <w:color w:val="231F20"/>
          <w:spacing w:val="10"/>
          <w:w w:val="105"/>
          <w:vertAlign w:val="baseline"/>
        </w:rPr>
        <w:t> </w:t>
      </w:r>
      <w:r>
        <w:rPr>
          <w:color w:val="231F20"/>
          <w:w w:val="105"/>
          <w:vertAlign w:val="baseline"/>
        </w:rPr>
        <w:t>by</w:t>
      </w:r>
      <w:r>
        <w:rPr>
          <w:color w:val="231F20"/>
          <w:spacing w:val="11"/>
          <w:w w:val="105"/>
          <w:vertAlign w:val="baseline"/>
        </w:rPr>
        <w:t> </w:t>
      </w:r>
      <w:r>
        <w:rPr>
          <w:color w:val="231F20"/>
          <w:w w:val="105"/>
          <w:vertAlign w:val="baseline"/>
        </w:rPr>
        <w:t>mail</w:t>
      </w:r>
      <w:r>
        <w:rPr>
          <w:color w:val="231F20"/>
          <w:spacing w:val="10"/>
          <w:w w:val="105"/>
          <w:vertAlign w:val="baseline"/>
        </w:rPr>
        <w:t> </w:t>
      </w:r>
      <w:r>
        <w:rPr>
          <w:color w:val="231F20"/>
          <w:spacing w:val="-3"/>
          <w:w w:val="105"/>
          <w:vertAlign w:val="baseline"/>
        </w:rPr>
        <w:t>at</w:t>
      </w:r>
      <w:r>
        <w:rPr>
          <w:color w:val="231F20"/>
          <w:spacing w:val="10"/>
          <w:w w:val="105"/>
          <w:vertAlign w:val="baseline"/>
        </w:rPr>
        <w:t> </w:t>
      </w:r>
      <w:r>
        <w:rPr>
          <w:color w:val="231F20"/>
          <w:w w:val="105"/>
          <w:vertAlign w:val="baseline"/>
        </w:rPr>
        <w:t>Computershare</w:t>
      </w:r>
    </w:p>
    <w:p>
      <w:pPr>
        <w:pStyle w:val="BodyText"/>
        <w:spacing w:line="247" w:lineRule="auto" w:before="8"/>
        <w:ind w:left="1090" w:right="1322"/>
      </w:pPr>
      <w:r>
        <w:rPr>
          <w:color w:val="231F20"/>
          <w:w w:val="105"/>
        </w:rPr>
        <w:t>Schweiz</w:t>
      </w:r>
      <w:r>
        <w:rPr>
          <w:color w:val="231F20"/>
          <w:spacing w:val="-7"/>
          <w:w w:val="105"/>
        </w:rPr>
        <w:t> AG, </w:t>
      </w:r>
      <w:r>
        <w:rPr>
          <w:color w:val="231F20"/>
          <w:spacing w:val="-11"/>
          <w:w w:val="105"/>
        </w:rPr>
        <w:t>P.O. </w:t>
      </w:r>
      <w:r>
        <w:rPr>
          <w:color w:val="231F20"/>
          <w:w w:val="105"/>
        </w:rPr>
        <w:t>Box, 4601 Olten, Switzerland; by email </w:t>
      </w:r>
      <w:r>
        <w:rPr>
          <w:color w:val="231F20"/>
          <w:spacing w:val="-3"/>
          <w:w w:val="105"/>
        </w:rPr>
        <w:t>at </w:t>
      </w:r>
      <w:r>
        <w:rPr>
          <w:color w:val="231F20"/>
          <w:w w:val="105"/>
        </w:rPr>
        <w:t>share.register@computershare.ch; or by telephone </w:t>
      </w:r>
      <w:r>
        <w:rPr>
          <w:color w:val="231F20"/>
          <w:spacing w:val="-3"/>
          <w:w w:val="105"/>
        </w:rPr>
        <w:t>at </w:t>
      </w:r>
      <w:r>
        <w:rPr>
          <w:color w:val="231F20"/>
          <w:w w:val="105"/>
        </w:rPr>
        <w:t>+41 62 205 77 00.</w:t>
      </w:r>
    </w:p>
    <w:p>
      <w:pPr>
        <w:pStyle w:val="BodyText"/>
        <w:spacing w:line="249" w:lineRule="auto" w:before="162"/>
        <w:ind w:left="1090" w:right="1565" w:firstLine="399"/>
      </w:pPr>
      <w:r>
        <w:rPr>
          <w:color w:val="231F20"/>
          <w:w w:val="105"/>
        </w:rPr>
        <w:t>Pursuant to the Israel Companies </w:t>
      </w:r>
      <w:r>
        <w:rPr>
          <w:color w:val="231F20"/>
          <w:spacing w:val="-5"/>
          <w:w w:val="105"/>
        </w:rPr>
        <w:t>Law </w:t>
      </w:r>
      <w:r>
        <w:rPr>
          <w:color w:val="231F20"/>
          <w:w w:val="105"/>
        </w:rPr>
        <w:t>and the applicable regulations promulgated thereunder, shareholders wishing to express their position on the sole agenda item </w:t>
      </w:r>
      <w:r>
        <w:rPr>
          <w:color w:val="231F20"/>
          <w:spacing w:val="-3"/>
          <w:w w:val="105"/>
        </w:rPr>
        <w:t>for </w:t>
      </w:r>
      <w:r>
        <w:rPr>
          <w:color w:val="231F20"/>
          <w:w w:val="105"/>
        </w:rPr>
        <w:t>the Meeting </w:t>
      </w:r>
      <w:r>
        <w:rPr>
          <w:color w:val="231F20"/>
          <w:spacing w:val="-3"/>
          <w:w w:val="105"/>
        </w:rPr>
        <w:t>may </w:t>
      </w:r>
      <w:r>
        <w:rPr>
          <w:color w:val="231F20"/>
          <w:w w:val="105"/>
        </w:rPr>
        <w:t>do so by submitting a written statement (a “</w:t>
      </w:r>
      <w:r>
        <w:rPr>
          <w:b/>
          <w:color w:val="231F20"/>
          <w:w w:val="105"/>
        </w:rPr>
        <w:t>Shareholder Statement</w:t>
      </w:r>
      <w:r>
        <w:rPr>
          <w:color w:val="231F20"/>
          <w:w w:val="105"/>
        </w:rPr>
        <w:t>”) to the </w:t>
      </w:r>
      <w:r>
        <w:rPr>
          <w:color w:val="231F20"/>
          <w:spacing w:val="-3"/>
          <w:w w:val="105"/>
        </w:rPr>
        <w:t>Company’s </w:t>
      </w:r>
      <w:r>
        <w:rPr>
          <w:color w:val="231F20"/>
          <w:w w:val="105"/>
        </w:rPr>
        <w:t>Chief Financial Officer </w:t>
      </w:r>
      <w:r>
        <w:rPr>
          <w:color w:val="231F20"/>
          <w:spacing w:val="-3"/>
          <w:w w:val="105"/>
        </w:rPr>
        <w:t>at </w:t>
      </w:r>
      <w:r>
        <w:rPr>
          <w:color w:val="231F20"/>
          <w:w w:val="105"/>
        </w:rPr>
        <w:t>Ashdar Building — 2</w:t>
      </w:r>
      <w:r>
        <w:rPr>
          <w:color w:val="231F20"/>
          <w:w w:val="105"/>
          <w:vertAlign w:val="superscript"/>
        </w:rPr>
        <w:t>nd</w:t>
      </w:r>
      <w:r>
        <w:rPr>
          <w:color w:val="231F20"/>
          <w:w w:val="105"/>
          <w:vertAlign w:val="baseline"/>
        </w:rPr>
        <w:t> </w:t>
      </w:r>
      <w:r>
        <w:rPr>
          <w:color w:val="231F20"/>
          <w:spacing w:val="-4"/>
          <w:w w:val="105"/>
          <w:vertAlign w:val="baseline"/>
        </w:rPr>
        <w:t>Floor, </w:t>
      </w:r>
      <w:r>
        <w:rPr>
          <w:color w:val="231F20"/>
          <w:w w:val="105"/>
          <w:vertAlign w:val="baseline"/>
        </w:rPr>
        <w:t>90 </w:t>
      </w:r>
      <w:r>
        <w:rPr>
          <w:color w:val="231F20"/>
          <w:spacing w:val="-4"/>
          <w:w w:val="105"/>
          <w:vertAlign w:val="baseline"/>
        </w:rPr>
        <w:t>Yigal </w:t>
      </w:r>
      <w:r>
        <w:rPr>
          <w:color w:val="231F20"/>
          <w:w w:val="105"/>
          <w:vertAlign w:val="baseline"/>
        </w:rPr>
        <w:t>Alon Street, </w:t>
      </w:r>
      <w:r>
        <w:rPr>
          <w:color w:val="231F20"/>
          <w:spacing w:val="-6"/>
          <w:w w:val="105"/>
          <w:vertAlign w:val="baseline"/>
        </w:rPr>
        <w:t>Tel </w:t>
      </w:r>
      <w:r>
        <w:rPr>
          <w:color w:val="231F20"/>
          <w:spacing w:val="-9"/>
          <w:w w:val="105"/>
          <w:vertAlign w:val="baseline"/>
        </w:rPr>
        <w:t>Aviv, </w:t>
      </w:r>
      <w:r>
        <w:rPr>
          <w:color w:val="231F20"/>
          <w:w w:val="105"/>
          <w:vertAlign w:val="baseline"/>
        </w:rPr>
        <w:t>Israel, or by email to </w:t>
      </w:r>
      <w:hyperlink r:id="rId10">
        <w:r>
          <w:rPr>
            <w:color w:val="231F20"/>
            <w:w w:val="105"/>
            <w:vertAlign w:val="baseline"/>
          </w:rPr>
          <w:t>amirh@shahal.co.il, </w:t>
        </w:r>
      </w:hyperlink>
      <w:r>
        <w:rPr>
          <w:color w:val="231F20"/>
          <w:w w:val="105"/>
          <w:vertAlign w:val="baseline"/>
        </w:rPr>
        <w:t>no later than ten (10) days prior to the Meeting. If the Company chooses to issue a response to such Shareholder Statement, it will do so no later than five (5) days prior to the Meeting. </w:t>
      </w:r>
      <w:r>
        <w:rPr>
          <w:color w:val="231F20"/>
          <w:spacing w:val="-3"/>
          <w:w w:val="105"/>
          <w:vertAlign w:val="baseline"/>
        </w:rPr>
        <w:t>Any </w:t>
      </w:r>
      <w:r>
        <w:rPr>
          <w:color w:val="231F20"/>
          <w:w w:val="105"/>
          <w:vertAlign w:val="baseline"/>
        </w:rPr>
        <w:t>Shareholder Statement or Company response will be published in a press release or a report of foreign private issuer on</w:t>
      </w:r>
      <w:r>
        <w:rPr>
          <w:color w:val="231F20"/>
          <w:spacing w:val="4"/>
          <w:w w:val="105"/>
          <w:vertAlign w:val="baseline"/>
        </w:rPr>
        <w:t> </w:t>
      </w:r>
      <w:r>
        <w:rPr>
          <w:color w:val="231F20"/>
          <w:spacing w:val="-3"/>
          <w:w w:val="105"/>
          <w:vertAlign w:val="baseline"/>
        </w:rPr>
        <w:t>Form</w:t>
      </w:r>
      <w:r>
        <w:rPr>
          <w:color w:val="231F20"/>
          <w:spacing w:val="4"/>
          <w:w w:val="105"/>
          <w:vertAlign w:val="baseline"/>
        </w:rPr>
        <w:t> </w:t>
      </w:r>
      <w:r>
        <w:rPr>
          <w:color w:val="231F20"/>
          <w:w w:val="105"/>
          <w:vertAlign w:val="baseline"/>
        </w:rPr>
        <w:t>6-K</w:t>
      </w:r>
      <w:r>
        <w:rPr>
          <w:color w:val="231F20"/>
          <w:spacing w:val="5"/>
          <w:w w:val="105"/>
          <w:vertAlign w:val="baseline"/>
        </w:rPr>
        <w:t> </w:t>
      </w:r>
      <w:r>
        <w:rPr>
          <w:color w:val="231F20"/>
          <w:w w:val="105"/>
          <w:vertAlign w:val="baseline"/>
        </w:rPr>
        <w:t>furnished</w:t>
      </w:r>
      <w:r>
        <w:rPr>
          <w:color w:val="231F20"/>
          <w:spacing w:val="4"/>
          <w:w w:val="105"/>
          <w:vertAlign w:val="baseline"/>
        </w:rPr>
        <w:t> </w:t>
      </w:r>
      <w:r>
        <w:rPr>
          <w:color w:val="231F20"/>
          <w:w w:val="105"/>
          <w:vertAlign w:val="baseline"/>
        </w:rPr>
        <w:t>to</w:t>
      </w:r>
      <w:r>
        <w:rPr>
          <w:color w:val="231F20"/>
          <w:spacing w:val="4"/>
          <w:w w:val="105"/>
          <w:vertAlign w:val="baseline"/>
        </w:rPr>
        <w:t> </w:t>
      </w:r>
      <w:r>
        <w:rPr>
          <w:color w:val="231F20"/>
          <w:w w:val="105"/>
          <w:vertAlign w:val="baseline"/>
        </w:rPr>
        <w:t>the</w:t>
      </w:r>
      <w:r>
        <w:rPr>
          <w:color w:val="231F20"/>
          <w:spacing w:val="5"/>
          <w:w w:val="105"/>
          <w:vertAlign w:val="baseline"/>
        </w:rPr>
        <w:t> </w:t>
      </w:r>
      <w:r>
        <w:rPr>
          <w:color w:val="231F20"/>
          <w:w w:val="105"/>
          <w:vertAlign w:val="baseline"/>
        </w:rPr>
        <w:t>SEC,</w:t>
      </w:r>
      <w:r>
        <w:rPr>
          <w:color w:val="231F20"/>
          <w:spacing w:val="4"/>
          <w:w w:val="105"/>
          <w:vertAlign w:val="baseline"/>
        </w:rPr>
        <w:t> </w:t>
      </w:r>
      <w:r>
        <w:rPr>
          <w:color w:val="231F20"/>
          <w:w w:val="105"/>
          <w:vertAlign w:val="baseline"/>
        </w:rPr>
        <w:t>and</w:t>
      </w:r>
      <w:r>
        <w:rPr>
          <w:color w:val="231F20"/>
          <w:spacing w:val="4"/>
          <w:w w:val="105"/>
          <w:vertAlign w:val="baseline"/>
        </w:rPr>
        <w:t> </w:t>
      </w:r>
      <w:r>
        <w:rPr>
          <w:color w:val="231F20"/>
          <w:w w:val="105"/>
          <w:vertAlign w:val="baseline"/>
        </w:rPr>
        <w:t>will</w:t>
      </w:r>
      <w:r>
        <w:rPr>
          <w:color w:val="231F20"/>
          <w:spacing w:val="5"/>
          <w:w w:val="105"/>
          <w:vertAlign w:val="baseline"/>
        </w:rPr>
        <w:t> </w:t>
      </w:r>
      <w:r>
        <w:rPr>
          <w:color w:val="231F20"/>
          <w:w w:val="105"/>
          <w:vertAlign w:val="baseline"/>
        </w:rPr>
        <w:t>be</w:t>
      </w:r>
      <w:r>
        <w:rPr>
          <w:color w:val="231F20"/>
          <w:spacing w:val="4"/>
          <w:w w:val="105"/>
          <w:vertAlign w:val="baseline"/>
        </w:rPr>
        <w:t> </w:t>
      </w:r>
      <w:r>
        <w:rPr>
          <w:color w:val="231F20"/>
          <w:w w:val="105"/>
          <w:vertAlign w:val="baseline"/>
        </w:rPr>
        <w:t>made</w:t>
      </w:r>
      <w:r>
        <w:rPr>
          <w:color w:val="231F20"/>
          <w:spacing w:val="4"/>
          <w:w w:val="105"/>
          <w:vertAlign w:val="baseline"/>
        </w:rPr>
        <w:t> </w:t>
      </w:r>
      <w:r>
        <w:rPr>
          <w:color w:val="231F20"/>
          <w:spacing w:val="-4"/>
          <w:w w:val="105"/>
          <w:vertAlign w:val="baseline"/>
        </w:rPr>
        <w:t>available</w:t>
      </w:r>
      <w:r>
        <w:rPr>
          <w:color w:val="231F20"/>
          <w:spacing w:val="5"/>
          <w:w w:val="105"/>
          <w:vertAlign w:val="baseline"/>
        </w:rPr>
        <w:t> </w:t>
      </w:r>
      <w:r>
        <w:rPr>
          <w:color w:val="231F20"/>
          <w:w w:val="105"/>
          <w:vertAlign w:val="baseline"/>
        </w:rPr>
        <w:t>on</w:t>
      </w:r>
      <w:r>
        <w:rPr>
          <w:color w:val="231F20"/>
          <w:spacing w:val="4"/>
          <w:w w:val="105"/>
          <w:vertAlign w:val="baseline"/>
        </w:rPr>
        <w:t> </w:t>
      </w:r>
      <w:r>
        <w:rPr>
          <w:color w:val="231F20"/>
          <w:w w:val="105"/>
          <w:vertAlign w:val="baseline"/>
        </w:rPr>
        <w:t>our</w:t>
      </w:r>
      <w:r>
        <w:rPr>
          <w:color w:val="231F20"/>
          <w:spacing w:val="5"/>
          <w:w w:val="105"/>
          <w:vertAlign w:val="baseline"/>
        </w:rPr>
        <w:t> </w:t>
      </w:r>
      <w:r>
        <w:rPr>
          <w:color w:val="231F20"/>
          <w:w w:val="105"/>
          <w:vertAlign w:val="baseline"/>
        </w:rPr>
        <w:t>website</w:t>
      </w:r>
      <w:r>
        <w:rPr>
          <w:color w:val="231F20"/>
          <w:spacing w:val="4"/>
          <w:w w:val="105"/>
          <w:vertAlign w:val="baseline"/>
        </w:rPr>
        <w:t> </w:t>
      </w:r>
      <w:r>
        <w:rPr>
          <w:color w:val="231F20"/>
          <w:spacing w:val="-3"/>
          <w:w w:val="105"/>
          <w:vertAlign w:val="baseline"/>
        </w:rPr>
        <w:t>at</w:t>
      </w:r>
    </w:p>
    <w:p>
      <w:pPr>
        <w:pStyle w:val="BodyText"/>
        <w:spacing w:before="3"/>
        <w:ind w:left="1090"/>
      </w:pPr>
      <w:hyperlink r:id="rId8">
        <w:r>
          <w:rPr>
            <w:color w:val="231F20"/>
            <w:w w:val="105"/>
          </w:rPr>
          <w:t>https://ww</w:t>
        </w:r>
      </w:hyperlink>
      <w:r>
        <w:rPr>
          <w:color w:val="231F20"/>
          <w:w w:val="105"/>
        </w:rPr>
        <w:t>w.shl-te</w:t>
      </w:r>
      <w:hyperlink r:id="rId8">
        <w:r>
          <w:rPr>
            <w:color w:val="231F20"/>
            <w:w w:val="105"/>
          </w:rPr>
          <w:t>lemedicine.com/general-meeting </w:t>
        </w:r>
      </w:hyperlink>
      <w:r>
        <w:rPr>
          <w:color w:val="231F20"/>
          <w:w w:val="105"/>
        </w:rPr>
        <w:t>and on the SEC’s website at </w:t>
      </w:r>
      <w:hyperlink r:id="rId9">
        <w:r>
          <w:rPr>
            <w:color w:val="231F20"/>
            <w:w w:val="105"/>
          </w:rPr>
          <w:t>www.sec.gov.</w:t>
        </w:r>
      </w:hyperlink>
    </w:p>
    <w:p>
      <w:pPr>
        <w:pStyle w:val="BodyText"/>
        <w:spacing w:line="249" w:lineRule="auto" w:before="169"/>
        <w:ind w:left="1090" w:right="1386" w:firstLine="399"/>
      </w:pPr>
      <w:r>
        <w:rPr>
          <w:color w:val="231F20"/>
          <w:w w:val="105"/>
        </w:rPr>
        <w:t>Any Shareholder Statement must be written in a clear and simple language and include no more than 500 words per subject matter. It must set forth the identity of the shareholder submitting such statement, as well as such shareholder’s percentage interest in the Company. A shareholder that is a corporate entity</w:t>
      </w:r>
    </w:p>
    <w:p>
      <w:pPr>
        <w:pStyle w:val="BodyText"/>
        <w:spacing w:line="249" w:lineRule="auto" w:before="1"/>
        <w:ind w:left="1090" w:right="1386"/>
      </w:pPr>
      <w:r>
        <w:rPr>
          <w:color w:val="231F20"/>
          <w:w w:val="105"/>
        </w:rPr>
        <w:t>shall detail the identity of its controlling shareholder(s), as well as additional holdings (if any) of such controlling shareholder(s) in shares of the </w:t>
      </w:r>
      <w:r>
        <w:rPr>
          <w:color w:val="231F20"/>
          <w:spacing w:val="-4"/>
          <w:w w:val="105"/>
        </w:rPr>
        <w:t>Company, </w:t>
      </w:r>
      <w:r>
        <w:rPr>
          <w:color w:val="231F20"/>
          <w:w w:val="105"/>
        </w:rPr>
        <w:t>to the best knowledge of the shareholder submitting the Shareholder Statement. A shareholder submitting the Shareholder Statement that acts in concert with others with respect to voting in shareholder meetings, whether in general or with respect to certain matter(s) on the agendas shall state that in the Shareholder Statement and describe such arrangements and the  identity of the other applicable shareholders. </w:t>
      </w:r>
      <w:r>
        <w:rPr>
          <w:color w:val="231F20"/>
          <w:spacing w:val="-3"/>
          <w:w w:val="105"/>
        </w:rPr>
        <w:t>Any </w:t>
      </w:r>
      <w:r>
        <w:rPr>
          <w:color w:val="231F20"/>
          <w:w w:val="105"/>
        </w:rPr>
        <w:t>shareholder (as well as </w:t>
      </w:r>
      <w:r>
        <w:rPr>
          <w:color w:val="231F20"/>
          <w:spacing w:val="-3"/>
          <w:w w:val="105"/>
        </w:rPr>
        <w:t>any </w:t>
      </w:r>
      <w:r>
        <w:rPr>
          <w:color w:val="231F20"/>
          <w:w w:val="105"/>
        </w:rPr>
        <w:t>shareholder acting in concert with such shareholder) </w:t>
      </w:r>
      <w:r>
        <w:rPr>
          <w:color w:val="231F20"/>
          <w:spacing w:val="-3"/>
          <w:w w:val="105"/>
        </w:rPr>
        <w:t>having </w:t>
      </w:r>
      <w:r>
        <w:rPr>
          <w:color w:val="231F20"/>
          <w:w w:val="105"/>
        </w:rPr>
        <w:t>a personal benefit or other interest in </w:t>
      </w:r>
      <w:r>
        <w:rPr>
          <w:color w:val="231F20"/>
          <w:spacing w:val="-3"/>
          <w:w w:val="105"/>
        </w:rPr>
        <w:t>any </w:t>
      </w:r>
      <w:r>
        <w:rPr>
          <w:color w:val="231F20"/>
          <w:w w:val="105"/>
        </w:rPr>
        <w:t>matter on the agenda must describe the nature of such personal benefit or other</w:t>
      </w:r>
      <w:r>
        <w:rPr>
          <w:color w:val="231F20"/>
          <w:spacing w:val="-4"/>
          <w:w w:val="105"/>
        </w:rPr>
        <w:t> </w:t>
      </w:r>
      <w:r>
        <w:rPr>
          <w:color w:val="231F20"/>
          <w:w w:val="105"/>
        </w:rPr>
        <w:t>interest.</w:t>
      </w:r>
    </w:p>
    <w:p>
      <w:pPr>
        <w:pStyle w:val="Heading2"/>
        <w:spacing w:line="249" w:lineRule="auto" w:before="162"/>
        <w:ind w:right="1553" w:firstLine="399"/>
      </w:pPr>
      <w:r>
        <w:rPr>
          <w:color w:val="231F20"/>
        </w:rPr>
        <w:t>Whether</w:t>
      </w:r>
      <w:r>
        <w:rPr>
          <w:color w:val="231F20"/>
          <w:spacing w:val="-24"/>
        </w:rPr>
        <w:t> </w:t>
      </w:r>
      <w:r>
        <w:rPr>
          <w:color w:val="231F20"/>
        </w:rPr>
        <w:t>or</w:t>
      </w:r>
      <w:r>
        <w:rPr>
          <w:color w:val="231F20"/>
          <w:spacing w:val="-23"/>
        </w:rPr>
        <w:t> </w:t>
      </w:r>
      <w:r>
        <w:rPr>
          <w:color w:val="231F20"/>
        </w:rPr>
        <w:t>not</w:t>
      </w:r>
      <w:r>
        <w:rPr>
          <w:color w:val="231F20"/>
          <w:spacing w:val="-24"/>
        </w:rPr>
        <w:t> </w:t>
      </w:r>
      <w:r>
        <w:rPr>
          <w:color w:val="231F20"/>
          <w:spacing w:val="-3"/>
        </w:rPr>
        <w:t>you</w:t>
      </w:r>
      <w:r>
        <w:rPr>
          <w:color w:val="231F20"/>
          <w:spacing w:val="-23"/>
        </w:rPr>
        <w:t> </w:t>
      </w:r>
      <w:r>
        <w:rPr>
          <w:color w:val="231F20"/>
        </w:rPr>
        <w:t>plan</w:t>
      </w:r>
      <w:r>
        <w:rPr>
          <w:color w:val="231F20"/>
          <w:spacing w:val="-24"/>
        </w:rPr>
        <w:t> </w:t>
      </w:r>
      <w:r>
        <w:rPr>
          <w:color w:val="231F20"/>
        </w:rPr>
        <w:t>to</w:t>
      </w:r>
      <w:r>
        <w:rPr>
          <w:color w:val="231F20"/>
          <w:spacing w:val="-23"/>
        </w:rPr>
        <w:t> </w:t>
      </w:r>
      <w:r>
        <w:rPr>
          <w:color w:val="231F20"/>
        </w:rPr>
        <w:t>attend</w:t>
      </w:r>
      <w:r>
        <w:rPr>
          <w:color w:val="231F20"/>
          <w:spacing w:val="-24"/>
        </w:rPr>
        <w:t> </w:t>
      </w:r>
      <w:r>
        <w:rPr>
          <w:color w:val="231F20"/>
        </w:rPr>
        <w:t>the</w:t>
      </w:r>
      <w:r>
        <w:rPr>
          <w:color w:val="231F20"/>
          <w:spacing w:val="-23"/>
        </w:rPr>
        <w:t> </w:t>
      </w:r>
      <w:r>
        <w:rPr>
          <w:color w:val="231F20"/>
        </w:rPr>
        <w:t>Meeting,</w:t>
      </w:r>
      <w:r>
        <w:rPr>
          <w:color w:val="231F20"/>
          <w:spacing w:val="-24"/>
        </w:rPr>
        <w:t> </w:t>
      </w:r>
      <w:r>
        <w:rPr>
          <w:color w:val="231F20"/>
        </w:rPr>
        <w:t>it</w:t>
      </w:r>
      <w:r>
        <w:rPr>
          <w:color w:val="231F20"/>
          <w:spacing w:val="-23"/>
        </w:rPr>
        <w:t> </w:t>
      </w:r>
      <w:r>
        <w:rPr>
          <w:color w:val="231F20"/>
        </w:rPr>
        <w:t>is</w:t>
      </w:r>
      <w:r>
        <w:rPr>
          <w:color w:val="231F20"/>
          <w:spacing w:val="-24"/>
        </w:rPr>
        <w:t> </w:t>
      </w:r>
      <w:r>
        <w:rPr>
          <w:color w:val="231F20"/>
        </w:rPr>
        <w:t>important</w:t>
      </w:r>
      <w:r>
        <w:rPr>
          <w:color w:val="231F20"/>
          <w:spacing w:val="-23"/>
        </w:rPr>
        <w:t> </w:t>
      </w:r>
      <w:r>
        <w:rPr>
          <w:color w:val="231F20"/>
        </w:rPr>
        <w:t>that</w:t>
      </w:r>
      <w:r>
        <w:rPr>
          <w:color w:val="231F20"/>
          <w:spacing w:val="-23"/>
        </w:rPr>
        <w:t> </w:t>
      </w:r>
      <w:r>
        <w:rPr>
          <w:color w:val="231F20"/>
        </w:rPr>
        <w:t>your</w:t>
      </w:r>
      <w:r>
        <w:rPr>
          <w:color w:val="231F20"/>
          <w:spacing w:val="-24"/>
        </w:rPr>
        <w:t> </w:t>
      </w:r>
      <w:r>
        <w:rPr>
          <w:color w:val="231F20"/>
        </w:rPr>
        <w:t>shares</w:t>
      </w:r>
      <w:r>
        <w:rPr>
          <w:color w:val="231F20"/>
          <w:spacing w:val="-23"/>
        </w:rPr>
        <w:t> </w:t>
      </w:r>
      <w:r>
        <w:rPr>
          <w:color w:val="231F20"/>
        </w:rPr>
        <w:t>be</w:t>
      </w:r>
      <w:r>
        <w:rPr>
          <w:color w:val="231F20"/>
          <w:spacing w:val="-24"/>
        </w:rPr>
        <w:t> </w:t>
      </w:r>
      <w:r>
        <w:rPr>
          <w:color w:val="231F20"/>
        </w:rPr>
        <w:t>represented</w:t>
      </w:r>
      <w:r>
        <w:rPr>
          <w:color w:val="231F20"/>
          <w:spacing w:val="-23"/>
        </w:rPr>
        <w:t> </w:t>
      </w:r>
      <w:r>
        <w:rPr>
          <w:color w:val="231F20"/>
        </w:rPr>
        <w:t>and</w:t>
      </w:r>
      <w:r>
        <w:rPr>
          <w:color w:val="231F20"/>
          <w:spacing w:val="-24"/>
        </w:rPr>
        <w:t> </w:t>
      </w:r>
      <w:r>
        <w:rPr>
          <w:color w:val="231F20"/>
        </w:rPr>
        <w:t>voted at</w:t>
      </w:r>
      <w:r>
        <w:rPr>
          <w:color w:val="231F20"/>
          <w:spacing w:val="-14"/>
        </w:rPr>
        <w:t> </w:t>
      </w:r>
      <w:r>
        <w:rPr>
          <w:color w:val="231F20"/>
        </w:rPr>
        <w:t>the</w:t>
      </w:r>
      <w:r>
        <w:rPr>
          <w:color w:val="231F20"/>
          <w:spacing w:val="-14"/>
        </w:rPr>
        <w:t> </w:t>
      </w:r>
      <w:r>
        <w:rPr>
          <w:color w:val="231F20"/>
        </w:rPr>
        <w:t>Meeting.</w:t>
      </w:r>
      <w:r>
        <w:rPr>
          <w:color w:val="231F20"/>
          <w:spacing w:val="-13"/>
        </w:rPr>
        <w:t> </w:t>
      </w:r>
      <w:r>
        <w:rPr>
          <w:color w:val="231F20"/>
        </w:rPr>
        <w:t>Accordingly,</w:t>
      </w:r>
      <w:r>
        <w:rPr>
          <w:color w:val="231F20"/>
          <w:spacing w:val="-14"/>
        </w:rPr>
        <w:t> </w:t>
      </w:r>
      <w:r>
        <w:rPr>
          <w:color w:val="231F20"/>
        </w:rPr>
        <w:t>after</w:t>
      </w:r>
      <w:r>
        <w:rPr>
          <w:color w:val="231F20"/>
          <w:spacing w:val="-14"/>
        </w:rPr>
        <w:t> </w:t>
      </w:r>
      <w:r>
        <w:rPr>
          <w:color w:val="231F20"/>
        </w:rPr>
        <w:t>reading</w:t>
      </w:r>
      <w:r>
        <w:rPr>
          <w:color w:val="231F20"/>
          <w:spacing w:val="-14"/>
        </w:rPr>
        <w:t> </w:t>
      </w:r>
      <w:r>
        <w:rPr>
          <w:color w:val="231F20"/>
        </w:rPr>
        <w:t>the</w:t>
      </w:r>
      <w:r>
        <w:rPr>
          <w:color w:val="231F20"/>
          <w:spacing w:val="-13"/>
        </w:rPr>
        <w:t> </w:t>
      </w:r>
      <w:r>
        <w:rPr>
          <w:color w:val="231F20"/>
        </w:rPr>
        <w:t>Notice</w:t>
      </w:r>
      <w:r>
        <w:rPr>
          <w:color w:val="231F20"/>
          <w:spacing w:val="-14"/>
        </w:rPr>
        <w:t> </w:t>
      </w:r>
      <w:r>
        <w:rPr>
          <w:color w:val="231F20"/>
        </w:rPr>
        <w:t>and</w:t>
      </w:r>
      <w:r>
        <w:rPr>
          <w:color w:val="231F20"/>
          <w:spacing w:val="-14"/>
        </w:rPr>
        <w:t> </w:t>
      </w:r>
      <w:r>
        <w:rPr>
          <w:color w:val="231F20"/>
        </w:rPr>
        <w:t>the</w:t>
      </w:r>
      <w:r>
        <w:rPr>
          <w:color w:val="231F20"/>
          <w:spacing w:val="-13"/>
        </w:rPr>
        <w:t> </w:t>
      </w:r>
      <w:r>
        <w:rPr>
          <w:color w:val="231F20"/>
          <w:spacing w:val="-3"/>
        </w:rPr>
        <w:t>Proxy</w:t>
      </w:r>
      <w:r>
        <w:rPr>
          <w:color w:val="231F20"/>
          <w:spacing w:val="-14"/>
        </w:rPr>
        <w:t> </w:t>
      </w:r>
      <w:r>
        <w:rPr>
          <w:color w:val="231F20"/>
        </w:rPr>
        <w:t>Statement,</w:t>
      </w:r>
      <w:r>
        <w:rPr>
          <w:color w:val="231F20"/>
          <w:spacing w:val="-14"/>
        </w:rPr>
        <w:t> </w:t>
      </w:r>
      <w:r>
        <w:rPr>
          <w:color w:val="231F20"/>
        </w:rPr>
        <w:t>if</w:t>
      </w:r>
      <w:r>
        <w:rPr>
          <w:color w:val="231F20"/>
          <w:spacing w:val="-2"/>
        </w:rPr>
        <w:t> </w:t>
      </w:r>
      <w:r>
        <w:rPr>
          <w:color w:val="231F20"/>
          <w:spacing w:val="-3"/>
        </w:rPr>
        <w:t>you</w:t>
      </w:r>
      <w:r>
        <w:rPr>
          <w:color w:val="231F20"/>
          <w:spacing w:val="-14"/>
        </w:rPr>
        <w:t> </w:t>
      </w:r>
      <w:r>
        <w:rPr>
          <w:color w:val="231F20"/>
        </w:rPr>
        <w:t>hold</w:t>
      </w:r>
      <w:r>
        <w:rPr>
          <w:color w:val="231F20"/>
          <w:spacing w:val="-13"/>
        </w:rPr>
        <w:t> </w:t>
      </w:r>
      <w:r>
        <w:rPr>
          <w:color w:val="231F20"/>
        </w:rPr>
        <w:t>ADSs</w:t>
      </w:r>
      <w:r>
        <w:rPr>
          <w:color w:val="231F20"/>
          <w:spacing w:val="-14"/>
        </w:rPr>
        <w:t> </w:t>
      </w:r>
      <w:r>
        <w:rPr>
          <w:color w:val="231F20"/>
        </w:rPr>
        <w:t>(whether</w:t>
      </w:r>
    </w:p>
    <w:p>
      <w:pPr>
        <w:spacing w:after="0" w:line="249" w:lineRule="auto"/>
        <w:sectPr>
          <w:footerReference w:type="default" r:id="rId12"/>
          <w:pgSz w:w="11880" w:h="15480"/>
          <w:pgMar w:footer="0" w:header="0" w:top="940" w:bottom="280" w:left="300" w:right="0"/>
        </w:sectPr>
      </w:pPr>
    </w:p>
    <w:p>
      <w:pPr>
        <w:spacing w:line="249" w:lineRule="auto" w:before="87"/>
        <w:ind w:left="1090" w:right="1372" w:firstLine="0"/>
        <w:jc w:val="left"/>
        <w:rPr>
          <w:b/>
          <w:sz w:val="20"/>
        </w:rPr>
      </w:pPr>
      <w:r>
        <w:rPr>
          <w:b/>
          <w:color w:val="231F20"/>
          <w:sz w:val="20"/>
        </w:rPr>
        <w:t>registered in your name or in “street name”), </w:t>
      </w:r>
      <w:r>
        <w:rPr>
          <w:b/>
          <w:color w:val="231F20"/>
          <w:spacing w:val="-3"/>
          <w:sz w:val="20"/>
        </w:rPr>
        <w:t>you </w:t>
      </w:r>
      <w:r>
        <w:rPr>
          <w:b/>
          <w:color w:val="231F20"/>
          <w:sz w:val="20"/>
        </w:rPr>
        <w:t>are urged to promptly complete, date and sign the voting instruction</w:t>
      </w:r>
      <w:r>
        <w:rPr>
          <w:b/>
          <w:color w:val="231F20"/>
          <w:spacing w:val="-34"/>
          <w:sz w:val="20"/>
        </w:rPr>
        <w:t> </w:t>
      </w:r>
      <w:r>
        <w:rPr>
          <w:b/>
          <w:color w:val="231F20"/>
          <w:sz w:val="20"/>
        </w:rPr>
        <w:t>form</w:t>
      </w:r>
      <w:r>
        <w:rPr>
          <w:b/>
          <w:color w:val="231F20"/>
          <w:spacing w:val="-34"/>
          <w:sz w:val="20"/>
        </w:rPr>
        <w:t> </w:t>
      </w:r>
      <w:r>
        <w:rPr>
          <w:b/>
          <w:color w:val="231F20"/>
          <w:spacing w:val="-3"/>
          <w:sz w:val="20"/>
        </w:rPr>
        <w:t>you</w:t>
      </w:r>
      <w:r>
        <w:rPr>
          <w:b/>
          <w:color w:val="231F20"/>
          <w:spacing w:val="-33"/>
          <w:sz w:val="20"/>
        </w:rPr>
        <w:t> </w:t>
      </w:r>
      <w:r>
        <w:rPr>
          <w:b/>
          <w:color w:val="231F20"/>
          <w:sz w:val="20"/>
        </w:rPr>
        <w:t>will</w:t>
      </w:r>
      <w:r>
        <w:rPr>
          <w:b/>
          <w:color w:val="231F20"/>
          <w:spacing w:val="-34"/>
          <w:sz w:val="20"/>
        </w:rPr>
        <w:t> </w:t>
      </w:r>
      <w:r>
        <w:rPr>
          <w:b/>
          <w:color w:val="231F20"/>
          <w:sz w:val="20"/>
        </w:rPr>
        <w:t>receive</w:t>
      </w:r>
      <w:r>
        <w:rPr>
          <w:b/>
          <w:color w:val="231F20"/>
          <w:spacing w:val="-33"/>
          <w:sz w:val="20"/>
        </w:rPr>
        <w:t> </w:t>
      </w:r>
      <w:r>
        <w:rPr>
          <w:b/>
          <w:color w:val="231F20"/>
          <w:sz w:val="20"/>
        </w:rPr>
        <w:t>from</w:t>
      </w:r>
      <w:r>
        <w:rPr>
          <w:b/>
          <w:color w:val="231F20"/>
          <w:spacing w:val="-34"/>
          <w:sz w:val="20"/>
        </w:rPr>
        <w:t> </w:t>
      </w:r>
      <w:r>
        <w:rPr>
          <w:b/>
          <w:color w:val="231F20"/>
          <w:sz w:val="20"/>
        </w:rPr>
        <w:t>The</w:t>
      </w:r>
      <w:r>
        <w:rPr>
          <w:b/>
          <w:color w:val="231F20"/>
          <w:spacing w:val="-34"/>
          <w:sz w:val="20"/>
        </w:rPr>
        <w:t> </w:t>
      </w:r>
      <w:r>
        <w:rPr>
          <w:b/>
          <w:color w:val="231F20"/>
          <w:sz w:val="20"/>
        </w:rPr>
        <w:t>Bank</w:t>
      </w:r>
      <w:r>
        <w:rPr>
          <w:b/>
          <w:color w:val="231F20"/>
          <w:spacing w:val="-33"/>
          <w:sz w:val="20"/>
        </w:rPr>
        <w:t> </w:t>
      </w:r>
      <w:r>
        <w:rPr>
          <w:b/>
          <w:color w:val="231F20"/>
          <w:sz w:val="20"/>
        </w:rPr>
        <w:t>of</w:t>
      </w:r>
      <w:r>
        <w:rPr>
          <w:b/>
          <w:color w:val="231F20"/>
          <w:spacing w:val="-28"/>
          <w:sz w:val="20"/>
        </w:rPr>
        <w:t> </w:t>
      </w:r>
      <w:r>
        <w:rPr>
          <w:b/>
          <w:color w:val="231F20"/>
          <w:sz w:val="20"/>
        </w:rPr>
        <w:t>New</w:t>
      </w:r>
      <w:r>
        <w:rPr>
          <w:b/>
          <w:color w:val="231F20"/>
          <w:spacing w:val="-34"/>
          <w:sz w:val="20"/>
        </w:rPr>
        <w:t> </w:t>
      </w:r>
      <w:r>
        <w:rPr>
          <w:b/>
          <w:color w:val="231F20"/>
          <w:spacing w:val="-5"/>
          <w:sz w:val="20"/>
        </w:rPr>
        <w:t>York</w:t>
      </w:r>
      <w:r>
        <w:rPr>
          <w:b/>
          <w:color w:val="231F20"/>
          <w:spacing w:val="-33"/>
          <w:sz w:val="20"/>
        </w:rPr>
        <w:t> </w:t>
      </w:r>
      <w:r>
        <w:rPr>
          <w:b/>
          <w:color w:val="231F20"/>
          <w:sz w:val="20"/>
        </w:rPr>
        <w:t>Mellon</w:t>
      </w:r>
      <w:r>
        <w:rPr>
          <w:b/>
          <w:color w:val="231F20"/>
          <w:spacing w:val="-34"/>
          <w:sz w:val="20"/>
        </w:rPr>
        <w:t> </w:t>
      </w:r>
      <w:r>
        <w:rPr>
          <w:b/>
          <w:color w:val="231F20"/>
          <w:sz w:val="20"/>
        </w:rPr>
        <w:t>or</w:t>
      </w:r>
      <w:r>
        <w:rPr>
          <w:b/>
          <w:color w:val="231F20"/>
          <w:spacing w:val="-33"/>
          <w:sz w:val="20"/>
        </w:rPr>
        <w:t> </w:t>
      </w:r>
      <w:r>
        <w:rPr>
          <w:b/>
          <w:color w:val="231F20"/>
          <w:sz w:val="20"/>
        </w:rPr>
        <w:t>from</w:t>
      </w:r>
      <w:r>
        <w:rPr>
          <w:b/>
          <w:color w:val="231F20"/>
          <w:spacing w:val="-34"/>
          <w:sz w:val="20"/>
        </w:rPr>
        <w:t> </w:t>
      </w:r>
      <w:r>
        <w:rPr>
          <w:b/>
          <w:color w:val="231F20"/>
          <w:sz w:val="20"/>
        </w:rPr>
        <w:t>your</w:t>
      </w:r>
      <w:r>
        <w:rPr>
          <w:b/>
          <w:color w:val="231F20"/>
          <w:spacing w:val="-33"/>
          <w:sz w:val="20"/>
        </w:rPr>
        <w:t> </w:t>
      </w:r>
      <w:r>
        <w:rPr>
          <w:b/>
          <w:color w:val="231F20"/>
          <w:sz w:val="20"/>
        </w:rPr>
        <w:t>bank,</w:t>
      </w:r>
      <w:r>
        <w:rPr>
          <w:b/>
          <w:color w:val="231F20"/>
          <w:spacing w:val="-34"/>
          <w:sz w:val="20"/>
        </w:rPr>
        <w:t> </w:t>
      </w:r>
      <w:r>
        <w:rPr>
          <w:b/>
          <w:color w:val="231F20"/>
          <w:spacing w:val="-3"/>
          <w:sz w:val="20"/>
        </w:rPr>
        <w:t>broker</w:t>
      </w:r>
      <w:r>
        <w:rPr>
          <w:b/>
          <w:color w:val="231F20"/>
          <w:spacing w:val="-34"/>
          <w:sz w:val="20"/>
        </w:rPr>
        <w:t> </w:t>
      </w:r>
      <w:r>
        <w:rPr>
          <w:b/>
          <w:color w:val="231F20"/>
          <w:sz w:val="20"/>
        </w:rPr>
        <w:t>or</w:t>
      </w:r>
      <w:r>
        <w:rPr>
          <w:b/>
          <w:color w:val="231F20"/>
          <w:spacing w:val="-33"/>
          <w:sz w:val="20"/>
        </w:rPr>
        <w:t> </w:t>
      </w:r>
      <w:r>
        <w:rPr>
          <w:b/>
          <w:color w:val="231F20"/>
          <w:sz w:val="20"/>
        </w:rPr>
        <w:t>other</w:t>
      </w:r>
      <w:r>
        <w:rPr>
          <w:b/>
          <w:color w:val="231F20"/>
          <w:spacing w:val="-34"/>
          <w:sz w:val="20"/>
        </w:rPr>
        <w:t> </w:t>
      </w:r>
      <w:r>
        <w:rPr>
          <w:b/>
          <w:color w:val="231F20"/>
          <w:sz w:val="20"/>
        </w:rPr>
        <w:t>nominee and</w:t>
      </w:r>
      <w:r>
        <w:rPr>
          <w:b/>
          <w:color w:val="231F20"/>
          <w:spacing w:val="-21"/>
          <w:sz w:val="20"/>
        </w:rPr>
        <w:t> </w:t>
      </w:r>
      <w:r>
        <w:rPr>
          <w:b/>
          <w:color w:val="231F20"/>
          <w:sz w:val="20"/>
        </w:rPr>
        <w:t>return</w:t>
      </w:r>
      <w:r>
        <w:rPr>
          <w:b/>
          <w:color w:val="231F20"/>
          <w:spacing w:val="-20"/>
          <w:sz w:val="20"/>
        </w:rPr>
        <w:t> </w:t>
      </w:r>
      <w:r>
        <w:rPr>
          <w:b/>
          <w:color w:val="231F20"/>
          <w:sz w:val="20"/>
        </w:rPr>
        <w:t>it</w:t>
      </w:r>
      <w:r>
        <w:rPr>
          <w:b/>
          <w:color w:val="231F20"/>
          <w:spacing w:val="-21"/>
          <w:sz w:val="20"/>
        </w:rPr>
        <w:t> </w:t>
      </w:r>
      <w:r>
        <w:rPr>
          <w:b/>
          <w:color w:val="231F20"/>
          <w:sz w:val="20"/>
        </w:rPr>
        <w:t>in</w:t>
      </w:r>
      <w:r>
        <w:rPr>
          <w:b/>
          <w:color w:val="231F20"/>
          <w:spacing w:val="-20"/>
          <w:sz w:val="20"/>
        </w:rPr>
        <w:t> </w:t>
      </w:r>
      <w:r>
        <w:rPr>
          <w:b/>
          <w:color w:val="231F20"/>
          <w:sz w:val="20"/>
        </w:rPr>
        <w:t>the</w:t>
      </w:r>
      <w:r>
        <w:rPr>
          <w:b/>
          <w:color w:val="231F20"/>
          <w:spacing w:val="-21"/>
          <w:sz w:val="20"/>
        </w:rPr>
        <w:t> </w:t>
      </w:r>
      <w:r>
        <w:rPr>
          <w:b/>
          <w:color w:val="231F20"/>
          <w:sz w:val="20"/>
        </w:rPr>
        <w:t>manner</w:t>
      </w:r>
      <w:r>
        <w:rPr>
          <w:b/>
          <w:color w:val="231F20"/>
          <w:spacing w:val="-20"/>
          <w:sz w:val="20"/>
        </w:rPr>
        <w:t> </w:t>
      </w:r>
      <w:r>
        <w:rPr>
          <w:b/>
          <w:color w:val="231F20"/>
          <w:sz w:val="20"/>
        </w:rPr>
        <w:t>specified</w:t>
      </w:r>
      <w:r>
        <w:rPr>
          <w:b/>
          <w:color w:val="231F20"/>
          <w:spacing w:val="-21"/>
          <w:sz w:val="20"/>
        </w:rPr>
        <w:t> </w:t>
      </w:r>
      <w:r>
        <w:rPr>
          <w:b/>
          <w:color w:val="231F20"/>
          <w:sz w:val="20"/>
        </w:rPr>
        <w:t>on</w:t>
      </w:r>
      <w:r>
        <w:rPr>
          <w:b/>
          <w:color w:val="231F20"/>
          <w:spacing w:val="-20"/>
          <w:sz w:val="20"/>
        </w:rPr>
        <w:t> </w:t>
      </w:r>
      <w:r>
        <w:rPr>
          <w:b/>
          <w:color w:val="231F20"/>
          <w:sz w:val="20"/>
        </w:rPr>
        <w:t>the</w:t>
      </w:r>
      <w:r>
        <w:rPr>
          <w:b/>
          <w:color w:val="231F20"/>
          <w:spacing w:val="-21"/>
          <w:sz w:val="20"/>
        </w:rPr>
        <w:t> </w:t>
      </w:r>
      <w:r>
        <w:rPr>
          <w:b/>
          <w:color w:val="231F20"/>
          <w:sz w:val="20"/>
        </w:rPr>
        <w:t>voting</w:t>
      </w:r>
      <w:r>
        <w:rPr>
          <w:b/>
          <w:color w:val="231F20"/>
          <w:spacing w:val="-20"/>
          <w:sz w:val="20"/>
        </w:rPr>
        <w:t> </w:t>
      </w:r>
      <w:r>
        <w:rPr>
          <w:b/>
          <w:color w:val="231F20"/>
          <w:sz w:val="20"/>
        </w:rPr>
        <w:t>instruction</w:t>
      </w:r>
      <w:r>
        <w:rPr>
          <w:b/>
          <w:color w:val="231F20"/>
          <w:spacing w:val="-21"/>
          <w:sz w:val="20"/>
        </w:rPr>
        <w:t> </w:t>
      </w:r>
      <w:r>
        <w:rPr>
          <w:b/>
          <w:color w:val="231F20"/>
          <w:sz w:val="20"/>
        </w:rPr>
        <w:t>form</w:t>
      </w:r>
      <w:r>
        <w:rPr>
          <w:b/>
          <w:color w:val="231F20"/>
          <w:spacing w:val="-20"/>
          <w:sz w:val="20"/>
        </w:rPr>
        <w:t> </w:t>
      </w:r>
      <w:r>
        <w:rPr>
          <w:b/>
          <w:color w:val="231F20"/>
          <w:sz w:val="20"/>
        </w:rPr>
        <w:t>at</w:t>
      </w:r>
      <w:r>
        <w:rPr>
          <w:b/>
          <w:color w:val="231F20"/>
          <w:spacing w:val="-21"/>
          <w:sz w:val="20"/>
        </w:rPr>
        <w:t> </w:t>
      </w:r>
      <w:r>
        <w:rPr>
          <w:b/>
          <w:color w:val="231F20"/>
          <w:sz w:val="20"/>
        </w:rPr>
        <w:t>your</w:t>
      </w:r>
      <w:r>
        <w:rPr>
          <w:b/>
          <w:color w:val="231F20"/>
          <w:spacing w:val="-20"/>
          <w:sz w:val="20"/>
        </w:rPr>
        <w:t> </w:t>
      </w:r>
      <w:r>
        <w:rPr>
          <w:b/>
          <w:color w:val="231F20"/>
          <w:sz w:val="20"/>
        </w:rPr>
        <w:t>earliest</w:t>
      </w:r>
      <w:r>
        <w:rPr>
          <w:b/>
          <w:color w:val="231F20"/>
          <w:spacing w:val="-20"/>
          <w:sz w:val="20"/>
        </w:rPr>
        <w:t> </w:t>
      </w:r>
      <w:r>
        <w:rPr>
          <w:b/>
          <w:color w:val="231F20"/>
          <w:sz w:val="20"/>
        </w:rPr>
        <w:t>convenience</w:t>
      </w:r>
      <w:r>
        <w:rPr>
          <w:b/>
          <w:color w:val="231F20"/>
          <w:spacing w:val="-21"/>
          <w:sz w:val="20"/>
        </w:rPr>
        <w:t> </w:t>
      </w:r>
      <w:r>
        <w:rPr>
          <w:b/>
          <w:color w:val="231F20"/>
          <w:sz w:val="20"/>
        </w:rPr>
        <w:t>so</w:t>
      </w:r>
      <w:r>
        <w:rPr>
          <w:b/>
          <w:color w:val="231F20"/>
          <w:spacing w:val="-20"/>
          <w:sz w:val="20"/>
        </w:rPr>
        <w:t> </w:t>
      </w:r>
      <w:r>
        <w:rPr>
          <w:b/>
          <w:color w:val="231F20"/>
          <w:sz w:val="20"/>
        </w:rPr>
        <w:t>that</w:t>
      </w:r>
      <w:r>
        <w:rPr>
          <w:b/>
          <w:color w:val="231F20"/>
          <w:spacing w:val="-21"/>
          <w:sz w:val="20"/>
        </w:rPr>
        <w:t> </w:t>
      </w:r>
      <w:r>
        <w:rPr>
          <w:b/>
          <w:color w:val="231F20"/>
          <w:sz w:val="20"/>
        </w:rPr>
        <w:t>it</w:t>
      </w:r>
      <w:r>
        <w:rPr>
          <w:b/>
          <w:color w:val="231F20"/>
          <w:spacing w:val="-20"/>
          <w:sz w:val="20"/>
        </w:rPr>
        <w:t> </w:t>
      </w:r>
      <w:r>
        <w:rPr>
          <w:b/>
          <w:color w:val="231F20"/>
          <w:sz w:val="20"/>
        </w:rPr>
        <w:t>will be</w:t>
      </w:r>
      <w:r>
        <w:rPr>
          <w:b/>
          <w:color w:val="231F20"/>
          <w:spacing w:val="-6"/>
          <w:sz w:val="20"/>
        </w:rPr>
        <w:t> </w:t>
      </w:r>
      <w:r>
        <w:rPr>
          <w:b/>
          <w:color w:val="231F20"/>
          <w:sz w:val="20"/>
        </w:rPr>
        <w:t>received</w:t>
      </w:r>
      <w:r>
        <w:rPr>
          <w:b/>
          <w:color w:val="231F20"/>
          <w:spacing w:val="-6"/>
          <w:sz w:val="20"/>
        </w:rPr>
        <w:t> </w:t>
      </w:r>
      <w:r>
        <w:rPr>
          <w:b/>
          <w:color w:val="231F20"/>
          <w:sz w:val="20"/>
        </w:rPr>
        <w:t>no</w:t>
      </w:r>
      <w:r>
        <w:rPr>
          <w:b/>
          <w:color w:val="231F20"/>
          <w:spacing w:val="-6"/>
          <w:sz w:val="20"/>
        </w:rPr>
        <w:t> </w:t>
      </w:r>
      <w:r>
        <w:rPr>
          <w:b/>
          <w:color w:val="231F20"/>
          <w:sz w:val="20"/>
        </w:rPr>
        <w:t>later</w:t>
      </w:r>
      <w:r>
        <w:rPr>
          <w:b/>
          <w:color w:val="231F20"/>
          <w:spacing w:val="-6"/>
          <w:sz w:val="20"/>
        </w:rPr>
        <w:t> </w:t>
      </w:r>
      <w:r>
        <w:rPr>
          <w:b/>
          <w:color w:val="231F20"/>
          <w:sz w:val="20"/>
        </w:rPr>
        <w:t>than</w:t>
      </w:r>
      <w:r>
        <w:rPr>
          <w:b/>
          <w:color w:val="231F20"/>
          <w:spacing w:val="-6"/>
          <w:sz w:val="20"/>
        </w:rPr>
        <w:t> </w:t>
      </w:r>
      <w:r>
        <w:rPr>
          <w:b/>
          <w:color w:val="231F20"/>
          <w:sz w:val="20"/>
        </w:rPr>
        <w:t>the</w:t>
      </w:r>
      <w:r>
        <w:rPr>
          <w:b/>
          <w:color w:val="231F20"/>
          <w:spacing w:val="-6"/>
          <w:sz w:val="20"/>
        </w:rPr>
        <w:t> </w:t>
      </w:r>
      <w:r>
        <w:rPr>
          <w:b/>
          <w:color w:val="231F20"/>
          <w:sz w:val="20"/>
        </w:rPr>
        <w:t>date</w:t>
      </w:r>
      <w:r>
        <w:rPr>
          <w:b/>
          <w:color w:val="231F20"/>
          <w:spacing w:val="-6"/>
          <w:sz w:val="20"/>
        </w:rPr>
        <w:t> </w:t>
      </w:r>
      <w:r>
        <w:rPr>
          <w:b/>
          <w:color w:val="231F20"/>
          <w:sz w:val="20"/>
        </w:rPr>
        <w:t>and</w:t>
      </w:r>
      <w:r>
        <w:rPr>
          <w:b/>
          <w:color w:val="231F20"/>
          <w:spacing w:val="-6"/>
          <w:sz w:val="20"/>
        </w:rPr>
        <w:t> </w:t>
      </w:r>
      <w:r>
        <w:rPr>
          <w:b/>
          <w:color w:val="231F20"/>
          <w:sz w:val="20"/>
        </w:rPr>
        <w:t>time</w:t>
      </w:r>
      <w:r>
        <w:rPr>
          <w:b/>
          <w:color w:val="231F20"/>
          <w:spacing w:val="-6"/>
          <w:sz w:val="20"/>
        </w:rPr>
        <w:t> </w:t>
      </w:r>
      <w:r>
        <w:rPr>
          <w:b/>
          <w:color w:val="231F20"/>
          <w:sz w:val="20"/>
        </w:rPr>
        <w:t>indicated</w:t>
      </w:r>
      <w:r>
        <w:rPr>
          <w:b/>
          <w:color w:val="231F20"/>
          <w:spacing w:val="-6"/>
          <w:sz w:val="20"/>
        </w:rPr>
        <w:t> </w:t>
      </w:r>
      <w:r>
        <w:rPr>
          <w:b/>
          <w:color w:val="231F20"/>
          <w:sz w:val="20"/>
        </w:rPr>
        <w:t>thereon.</w:t>
      </w:r>
      <w:r>
        <w:rPr>
          <w:b/>
          <w:color w:val="231F20"/>
          <w:spacing w:val="-6"/>
          <w:sz w:val="20"/>
        </w:rPr>
        <w:t> </w:t>
      </w:r>
      <w:r>
        <w:rPr>
          <w:b/>
          <w:color w:val="231F20"/>
          <w:sz w:val="20"/>
        </w:rPr>
        <w:t>If</w:t>
      </w:r>
      <w:r>
        <w:rPr>
          <w:b/>
          <w:color w:val="231F20"/>
          <w:spacing w:val="3"/>
          <w:sz w:val="20"/>
        </w:rPr>
        <w:t> </w:t>
      </w:r>
      <w:r>
        <w:rPr>
          <w:b/>
          <w:color w:val="231F20"/>
          <w:spacing w:val="-3"/>
          <w:sz w:val="20"/>
        </w:rPr>
        <w:t>you</w:t>
      </w:r>
      <w:r>
        <w:rPr>
          <w:b/>
          <w:color w:val="231F20"/>
          <w:spacing w:val="-6"/>
          <w:sz w:val="20"/>
        </w:rPr>
        <w:t> </w:t>
      </w:r>
      <w:r>
        <w:rPr>
          <w:b/>
          <w:color w:val="231F20"/>
          <w:sz w:val="20"/>
        </w:rPr>
        <w:t>hold</w:t>
      </w:r>
      <w:r>
        <w:rPr>
          <w:b/>
          <w:color w:val="231F20"/>
          <w:spacing w:val="-5"/>
          <w:sz w:val="20"/>
        </w:rPr>
        <w:t> </w:t>
      </w:r>
      <w:r>
        <w:rPr>
          <w:b/>
          <w:color w:val="231F20"/>
          <w:sz w:val="20"/>
        </w:rPr>
        <w:t>ordinary</w:t>
      </w:r>
      <w:r>
        <w:rPr>
          <w:b/>
          <w:color w:val="231F20"/>
          <w:spacing w:val="-6"/>
          <w:sz w:val="20"/>
        </w:rPr>
        <w:t> </w:t>
      </w:r>
      <w:r>
        <w:rPr>
          <w:b/>
          <w:color w:val="231F20"/>
          <w:sz w:val="20"/>
        </w:rPr>
        <w:t>shares,</w:t>
      </w:r>
      <w:r>
        <w:rPr>
          <w:b/>
          <w:color w:val="231F20"/>
          <w:spacing w:val="-6"/>
          <w:sz w:val="20"/>
        </w:rPr>
        <w:t> </w:t>
      </w:r>
      <w:r>
        <w:rPr>
          <w:b/>
          <w:color w:val="231F20"/>
          <w:spacing w:val="-3"/>
          <w:sz w:val="20"/>
        </w:rPr>
        <w:t>you</w:t>
      </w:r>
      <w:r>
        <w:rPr>
          <w:b/>
          <w:color w:val="231F20"/>
          <w:spacing w:val="-6"/>
          <w:sz w:val="20"/>
        </w:rPr>
        <w:t> </w:t>
      </w:r>
      <w:r>
        <w:rPr>
          <w:b/>
          <w:color w:val="231F20"/>
          <w:sz w:val="20"/>
        </w:rPr>
        <w:t>are</w:t>
      </w:r>
      <w:r>
        <w:rPr>
          <w:b/>
          <w:color w:val="231F20"/>
          <w:spacing w:val="-6"/>
          <w:sz w:val="20"/>
        </w:rPr>
        <w:t> </w:t>
      </w:r>
      <w:r>
        <w:rPr>
          <w:b/>
          <w:color w:val="231F20"/>
          <w:sz w:val="20"/>
        </w:rPr>
        <w:t>urged</w:t>
      </w:r>
      <w:r>
        <w:rPr>
          <w:b/>
          <w:color w:val="231F20"/>
          <w:spacing w:val="-6"/>
          <w:sz w:val="20"/>
        </w:rPr>
        <w:t> </w:t>
      </w:r>
      <w:r>
        <w:rPr>
          <w:b/>
          <w:color w:val="231F20"/>
          <w:sz w:val="20"/>
        </w:rPr>
        <w:t>to promptly</w:t>
      </w:r>
      <w:r>
        <w:rPr>
          <w:b/>
          <w:color w:val="231F20"/>
          <w:spacing w:val="-18"/>
          <w:sz w:val="20"/>
        </w:rPr>
        <w:t> </w:t>
      </w:r>
      <w:r>
        <w:rPr>
          <w:b/>
          <w:color w:val="231F20"/>
          <w:sz w:val="20"/>
        </w:rPr>
        <w:t>complete,</w:t>
      </w:r>
      <w:r>
        <w:rPr>
          <w:b/>
          <w:color w:val="231F20"/>
          <w:spacing w:val="-17"/>
          <w:sz w:val="20"/>
        </w:rPr>
        <w:t> </w:t>
      </w:r>
      <w:r>
        <w:rPr>
          <w:b/>
          <w:color w:val="231F20"/>
          <w:sz w:val="20"/>
        </w:rPr>
        <w:t>date</w:t>
      </w:r>
      <w:r>
        <w:rPr>
          <w:b/>
          <w:color w:val="231F20"/>
          <w:spacing w:val="-18"/>
          <w:sz w:val="20"/>
        </w:rPr>
        <w:t> </w:t>
      </w:r>
      <w:r>
        <w:rPr>
          <w:b/>
          <w:color w:val="231F20"/>
          <w:sz w:val="20"/>
        </w:rPr>
        <w:t>and</w:t>
      </w:r>
      <w:r>
        <w:rPr>
          <w:b/>
          <w:color w:val="231F20"/>
          <w:spacing w:val="-17"/>
          <w:sz w:val="20"/>
        </w:rPr>
        <w:t> </w:t>
      </w:r>
      <w:r>
        <w:rPr>
          <w:b/>
          <w:color w:val="231F20"/>
          <w:sz w:val="20"/>
        </w:rPr>
        <w:t>sign</w:t>
      </w:r>
      <w:r>
        <w:rPr>
          <w:b/>
          <w:color w:val="231F20"/>
          <w:spacing w:val="-18"/>
          <w:sz w:val="20"/>
        </w:rPr>
        <w:t> </w:t>
      </w:r>
      <w:r>
        <w:rPr>
          <w:b/>
          <w:color w:val="231F20"/>
          <w:sz w:val="20"/>
        </w:rPr>
        <w:t>a</w:t>
      </w:r>
      <w:r>
        <w:rPr>
          <w:b/>
          <w:color w:val="231F20"/>
          <w:spacing w:val="-17"/>
          <w:sz w:val="20"/>
        </w:rPr>
        <w:t> </w:t>
      </w:r>
      <w:r>
        <w:rPr>
          <w:b/>
          <w:color w:val="231F20"/>
          <w:spacing w:val="-3"/>
          <w:sz w:val="20"/>
        </w:rPr>
        <w:t>proxy</w:t>
      </w:r>
      <w:r>
        <w:rPr>
          <w:b/>
          <w:color w:val="231F20"/>
          <w:spacing w:val="-18"/>
          <w:sz w:val="20"/>
        </w:rPr>
        <w:t> </w:t>
      </w:r>
      <w:r>
        <w:rPr>
          <w:b/>
          <w:color w:val="231F20"/>
          <w:sz w:val="20"/>
        </w:rPr>
        <w:t>or</w:t>
      </w:r>
      <w:r>
        <w:rPr>
          <w:b/>
          <w:color w:val="231F20"/>
          <w:spacing w:val="-17"/>
          <w:sz w:val="20"/>
        </w:rPr>
        <w:t> </w:t>
      </w:r>
      <w:r>
        <w:rPr>
          <w:b/>
          <w:color w:val="231F20"/>
          <w:sz w:val="20"/>
        </w:rPr>
        <w:t>the</w:t>
      </w:r>
      <w:r>
        <w:rPr>
          <w:b/>
          <w:color w:val="231F20"/>
          <w:spacing w:val="-17"/>
          <w:sz w:val="20"/>
        </w:rPr>
        <w:t> </w:t>
      </w:r>
      <w:r>
        <w:rPr>
          <w:b/>
          <w:color w:val="231F20"/>
          <w:sz w:val="20"/>
        </w:rPr>
        <w:t>Ballot</w:t>
      </w:r>
      <w:r>
        <w:rPr>
          <w:b/>
          <w:color w:val="231F20"/>
          <w:spacing w:val="-18"/>
          <w:sz w:val="20"/>
        </w:rPr>
        <w:t> </w:t>
      </w:r>
      <w:r>
        <w:rPr>
          <w:b/>
          <w:color w:val="231F20"/>
          <w:sz w:val="20"/>
        </w:rPr>
        <w:t>and</w:t>
      </w:r>
      <w:r>
        <w:rPr>
          <w:b/>
          <w:color w:val="231F20"/>
          <w:spacing w:val="-17"/>
          <w:sz w:val="20"/>
        </w:rPr>
        <w:t> </w:t>
      </w:r>
      <w:r>
        <w:rPr>
          <w:b/>
          <w:color w:val="231F20"/>
          <w:sz w:val="20"/>
        </w:rPr>
        <w:t>return</w:t>
      </w:r>
      <w:r>
        <w:rPr>
          <w:b/>
          <w:color w:val="231F20"/>
          <w:spacing w:val="-18"/>
          <w:sz w:val="20"/>
        </w:rPr>
        <w:t> </w:t>
      </w:r>
      <w:r>
        <w:rPr>
          <w:b/>
          <w:color w:val="231F20"/>
          <w:sz w:val="20"/>
        </w:rPr>
        <w:t>it</w:t>
      </w:r>
      <w:r>
        <w:rPr>
          <w:b/>
          <w:color w:val="231F20"/>
          <w:spacing w:val="-17"/>
          <w:sz w:val="20"/>
        </w:rPr>
        <w:t> </w:t>
      </w:r>
      <w:r>
        <w:rPr>
          <w:b/>
          <w:color w:val="231F20"/>
          <w:sz w:val="20"/>
        </w:rPr>
        <w:t>in</w:t>
      </w:r>
      <w:r>
        <w:rPr>
          <w:b/>
          <w:color w:val="231F20"/>
          <w:spacing w:val="-18"/>
          <w:sz w:val="20"/>
        </w:rPr>
        <w:t> </w:t>
      </w:r>
      <w:r>
        <w:rPr>
          <w:b/>
          <w:color w:val="231F20"/>
          <w:sz w:val="20"/>
        </w:rPr>
        <w:t>the</w:t>
      </w:r>
      <w:r>
        <w:rPr>
          <w:b/>
          <w:color w:val="231F20"/>
          <w:spacing w:val="-17"/>
          <w:sz w:val="20"/>
        </w:rPr>
        <w:t> </w:t>
      </w:r>
      <w:r>
        <w:rPr>
          <w:b/>
          <w:color w:val="231F20"/>
          <w:sz w:val="20"/>
        </w:rPr>
        <w:t>manner</w:t>
      </w:r>
      <w:r>
        <w:rPr>
          <w:b/>
          <w:color w:val="231F20"/>
          <w:spacing w:val="-18"/>
          <w:sz w:val="20"/>
        </w:rPr>
        <w:t> </w:t>
      </w:r>
      <w:r>
        <w:rPr>
          <w:b/>
          <w:color w:val="231F20"/>
          <w:sz w:val="20"/>
        </w:rPr>
        <w:t>described</w:t>
      </w:r>
      <w:r>
        <w:rPr>
          <w:b/>
          <w:color w:val="231F20"/>
          <w:spacing w:val="-17"/>
          <w:sz w:val="20"/>
        </w:rPr>
        <w:t> </w:t>
      </w:r>
      <w:r>
        <w:rPr>
          <w:b/>
          <w:color w:val="231F20"/>
          <w:sz w:val="20"/>
        </w:rPr>
        <w:t>above.</w:t>
      </w:r>
      <w:r>
        <w:rPr>
          <w:b/>
          <w:color w:val="231F20"/>
          <w:spacing w:val="-17"/>
          <w:sz w:val="20"/>
        </w:rPr>
        <w:t> </w:t>
      </w:r>
      <w:r>
        <w:rPr>
          <w:b/>
          <w:color w:val="231F20"/>
          <w:sz w:val="20"/>
        </w:rPr>
        <w:t>Return</w:t>
      </w:r>
      <w:r>
        <w:rPr>
          <w:b/>
          <w:color w:val="231F20"/>
          <w:spacing w:val="-18"/>
          <w:sz w:val="20"/>
        </w:rPr>
        <w:t> </w:t>
      </w:r>
      <w:r>
        <w:rPr>
          <w:b/>
          <w:color w:val="231F20"/>
          <w:sz w:val="20"/>
        </w:rPr>
        <w:t>of your</w:t>
      </w:r>
      <w:r>
        <w:rPr>
          <w:b/>
          <w:color w:val="231F20"/>
          <w:spacing w:val="-20"/>
          <w:sz w:val="20"/>
        </w:rPr>
        <w:t> </w:t>
      </w:r>
      <w:r>
        <w:rPr>
          <w:b/>
          <w:color w:val="231F20"/>
          <w:sz w:val="20"/>
        </w:rPr>
        <w:t>voting</w:t>
      </w:r>
      <w:r>
        <w:rPr>
          <w:b/>
          <w:color w:val="231F20"/>
          <w:spacing w:val="-20"/>
          <w:sz w:val="20"/>
        </w:rPr>
        <w:t> </w:t>
      </w:r>
      <w:r>
        <w:rPr>
          <w:b/>
          <w:color w:val="231F20"/>
          <w:sz w:val="20"/>
        </w:rPr>
        <w:t>instruction</w:t>
      </w:r>
      <w:r>
        <w:rPr>
          <w:b/>
          <w:color w:val="231F20"/>
          <w:spacing w:val="-19"/>
          <w:sz w:val="20"/>
        </w:rPr>
        <w:t> </w:t>
      </w:r>
      <w:r>
        <w:rPr>
          <w:b/>
          <w:color w:val="231F20"/>
          <w:sz w:val="20"/>
        </w:rPr>
        <w:t>from,</w:t>
      </w:r>
      <w:r>
        <w:rPr>
          <w:b/>
          <w:color w:val="231F20"/>
          <w:spacing w:val="-20"/>
          <w:sz w:val="20"/>
        </w:rPr>
        <w:t> </w:t>
      </w:r>
      <w:r>
        <w:rPr>
          <w:b/>
          <w:color w:val="231F20"/>
          <w:spacing w:val="-3"/>
          <w:sz w:val="20"/>
        </w:rPr>
        <w:t>proxy</w:t>
      </w:r>
      <w:r>
        <w:rPr>
          <w:b/>
          <w:color w:val="231F20"/>
          <w:spacing w:val="-20"/>
          <w:sz w:val="20"/>
        </w:rPr>
        <w:t> </w:t>
      </w:r>
      <w:r>
        <w:rPr>
          <w:b/>
          <w:color w:val="231F20"/>
          <w:sz w:val="20"/>
        </w:rPr>
        <w:t>or</w:t>
      </w:r>
      <w:r>
        <w:rPr>
          <w:b/>
          <w:color w:val="231F20"/>
          <w:spacing w:val="-19"/>
          <w:sz w:val="20"/>
        </w:rPr>
        <w:t> </w:t>
      </w:r>
      <w:r>
        <w:rPr>
          <w:b/>
          <w:color w:val="231F20"/>
          <w:sz w:val="20"/>
        </w:rPr>
        <w:t>Ballot</w:t>
      </w:r>
      <w:r>
        <w:rPr>
          <w:b/>
          <w:color w:val="231F20"/>
          <w:spacing w:val="-20"/>
          <w:sz w:val="20"/>
        </w:rPr>
        <w:t> </w:t>
      </w:r>
      <w:r>
        <w:rPr>
          <w:b/>
          <w:color w:val="231F20"/>
          <w:sz w:val="20"/>
        </w:rPr>
        <w:t>(as</w:t>
      </w:r>
      <w:r>
        <w:rPr>
          <w:b/>
          <w:color w:val="231F20"/>
          <w:spacing w:val="-19"/>
          <w:sz w:val="20"/>
        </w:rPr>
        <w:t> </w:t>
      </w:r>
      <w:r>
        <w:rPr>
          <w:b/>
          <w:color w:val="231F20"/>
          <w:sz w:val="20"/>
        </w:rPr>
        <w:t>applicable)</w:t>
      </w:r>
      <w:r>
        <w:rPr>
          <w:b/>
          <w:color w:val="231F20"/>
          <w:spacing w:val="-20"/>
          <w:sz w:val="20"/>
        </w:rPr>
        <w:t> </w:t>
      </w:r>
      <w:r>
        <w:rPr>
          <w:b/>
          <w:color w:val="231F20"/>
          <w:sz w:val="20"/>
        </w:rPr>
        <w:t>does</w:t>
      </w:r>
      <w:r>
        <w:rPr>
          <w:b/>
          <w:color w:val="231F20"/>
          <w:spacing w:val="-20"/>
          <w:sz w:val="20"/>
        </w:rPr>
        <w:t> </w:t>
      </w:r>
      <w:r>
        <w:rPr>
          <w:b/>
          <w:color w:val="231F20"/>
          <w:sz w:val="20"/>
        </w:rPr>
        <w:t>not</w:t>
      </w:r>
      <w:r>
        <w:rPr>
          <w:b/>
          <w:color w:val="231F20"/>
          <w:spacing w:val="-19"/>
          <w:sz w:val="20"/>
        </w:rPr>
        <w:t> </w:t>
      </w:r>
      <w:r>
        <w:rPr>
          <w:b/>
          <w:color w:val="231F20"/>
          <w:sz w:val="20"/>
        </w:rPr>
        <w:t>deprive</w:t>
      </w:r>
      <w:r>
        <w:rPr>
          <w:b/>
          <w:color w:val="231F20"/>
          <w:spacing w:val="-20"/>
          <w:sz w:val="20"/>
        </w:rPr>
        <w:t> </w:t>
      </w:r>
      <w:r>
        <w:rPr>
          <w:b/>
          <w:color w:val="231F20"/>
          <w:spacing w:val="-3"/>
          <w:sz w:val="20"/>
        </w:rPr>
        <w:t>you</w:t>
      </w:r>
      <w:r>
        <w:rPr>
          <w:b/>
          <w:color w:val="231F20"/>
          <w:spacing w:val="-19"/>
          <w:sz w:val="20"/>
        </w:rPr>
        <w:t> </w:t>
      </w:r>
      <w:r>
        <w:rPr>
          <w:b/>
          <w:color w:val="231F20"/>
          <w:sz w:val="20"/>
        </w:rPr>
        <w:t>of</w:t>
      </w:r>
      <w:r>
        <w:rPr>
          <w:b/>
          <w:color w:val="231F20"/>
          <w:spacing w:val="-11"/>
          <w:sz w:val="20"/>
        </w:rPr>
        <w:t> </w:t>
      </w:r>
      <w:r>
        <w:rPr>
          <w:b/>
          <w:color w:val="231F20"/>
          <w:sz w:val="20"/>
        </w:rPr>
        <w:t>your</w:t>
      </w:r>
      <w:r>
        <w:rPr>
          <w:b/>
          <w:color w:val="231F20"/>
          <w:spacing w:val="-19"/>
          <w:sz w:val="20"/>
        </w:rPr>
        <w:t> </w:t>
      </w:r>
      <w:r>
        <w:rPr>
          <w:b/>
          <w:color w:val="231F20"/>
          <w:sz w:val="20"/>
        </w:rPr>
        <w:t>right</w:t>
      </w:r>
      <w:r>
        <w:rPr>
          <w:b/>
          <w:color w:val="231F20"/>
          <w:spacing w:val="-20"/>
          <w:sz w:val="20"/>
        </w:rPr>
        <w:t> </w:t>
      </w:r>
      <w:r>
        <w:rPr>
          <w:b/>
          <w:color w:val="231F20"/>
          <w:sz w:val="20"/>
        </w:rPr>
        <w:t>to</w:t>
      </w:r>
      <w:r>
        <w:rPr>
          <w:b/>
          <w:color w:val="231F20"/>
          <w:spacing w:val="-20"/>
          <w:sz w:val="20"/>
        </w:rPr>
        <w:t> </w:t>
      </w:r>
      <w:r>
        <w:rPr>
          <w:b/>
          <w:color w:val="231F20"/>
          <w:spacing w:val="-4"/>
          <w:sz w:val="20"/>
        </w:rPr>
        <w:t>revoke</w:t>
      </w:r>
      <w:r>
        <w:rPr>
          <w:b/>
          <w:color w:val="231F20"/>
          <w:spacing w:val="-19"/>
          <w:sz w:val="20"/>
        </w:rPr>
        <w:t> </w:t>
      </w:r>
      <w:r>
        <w:rPr>
          <w:b/>
          <w:color w:val="231F20"/>
          <w:sz w:val="20"/>
        </w:rPr>
        <w:t>such voting</w:t>
      </w:r>
      <w:r>
        <w:rPr>
          <w:b/>
          <w:color w:val="231F20"/>
          <w:spacing w:val="-17"/>
          <w:sz w:val="20"/>
        </w:rPr>
        <w:t> </w:t>
      </w:r>
      <w:r>
        <w:rPr>
          <w:b/>
          <w:color w:val="231F20"/>
          <w:sz w:val="20"/>
        </w:rPr>
        <w:t>instruction</w:t>
      </w:r>
      <w:r>
        <w:rPr>
          <w:b/>
          <w:color w:val="231F20"/>
          <w:spacing w:val="-16"/>
          <w:sz w:val="20"/>
        </w:rPr>
        <w:t> </w:t>
      </w:r>
      <w:r>
        <w:rPr>
          <w:b/>
          <w:color w:val="231F20"/>
          <w:sz w:val="20"/>
        </w:rPr>
        <w:t>form,</w:t>
      </w:r>
      <w:r>
        <w:rPr>
          <w:b/>
          <w:color w:val="231F20"/>
          <w:spacing w:val="-17"/>
          <w:sz w:val="20"/>
        </w:rPr>
        <w:t> </w:t>
      </w:r>
      <w:r>
        <w:rPr>
          <w:b/>
          <w:color w:val="231F20"/>
          <w:spacing w:val="-3"/>
          <w:sz w:val="20"/>
        </w:rPr>
        <w:t>proxy</w:t>
      </w:r>
      <w:r>
        <w:rPr>
          <w:b/>
          <w:color w:val="231F20"/>
          <w:spacing w:val="-16"/>
          <w:sz w:val="20"/>
        </w:rPr>
        <w:t> </w:t>
      </w:r>
      <w:r>
        <w:rPr>
          <w:b/>
          <w:color w:val="231F20"/>
          <w:sz w:val="20"/>
        </w:rPr>
        <w:t>or</w:t>
      </w:r>
      <w:r>
        <w:rPr>
          <w:b/>
          <w:color w:val="231F20"/>
          <w:spacing w:val="-16"/>
          <w:sz w:val="20"/>
        </w:rPr>
        <w:t> </w:t>
      </w:r>
      <w:r>
        <w:rPr>
          <w:b/>
          <w:color w:val="231F20"/>
          <w:sz w:val="20"/>
        </w:rPr>
        <w:t>the</w:t>
      </w:r>
      <w:r>
        <w:rPr>
          <w:b/>
          <w:color w:val="231F20"/>
          <w:spacing w:val="-17"/>
          <w:sz w:val="20"/>
        </w:rPr>
        <w:t> </w:t>
      </w:r>
      <w:r>
        <w:rPr>
          <w:b/>
          <w:color w:val="231F20"/>
          <w:sz w:val="20"/>
        </w:rPr>
        <w:t>Ballot</w:t>
      </w:r>
      <w:r>
        <w:rPr>
          <w:b/>
          <w:color w:val="231F20"/>
          <w:spacing w:val="-16"/>
          <w:sz w:val="20"/>
        </w:rPr>
        <w:t> </w:t>
      </w:r>
      <w:r>
        <w:rPr>
          <w:b/>
          <w:color w:val="231F20"/>
          <w:sz w:val="20"/>
        </w:rPr>
        <w:t>(as</w:t>
      </w:r>
      <w:r>
        <w:rPr>
          <w:b/>
          <w:color w:val="231F20"/>
          <w:spacing w:val="-16"/>
          <w:sz w:val="20"/>
        </w:rPr>
        <w:t> </w:t>
      </w:r>
      <w:r>
        <w:rPr>
          <w:b/>
          <w:color w:val="231F20"/>
          <w:sz w:val="20"/>
        </w:rPr>
        <w:t>applicable)</w:t>
      </w:r>
      <w:r>
        <w:rPr>
          <w:b/>
          <w:color w:val="231F20"/>
          <w:spacing w:val="-17"/>
          <w:sz w:val="20"/>
        </w:rPr>
        <w:t> </w:t>
      </w:r>
      <w:r>
        <w:rPr>
          <w:b/>
          <w:color w:val="231F20"/>
          <w:spacing w:val="-4"/>
          <w:sz w:val="20"/>
        </w:rPr>
        <w:t>or,</w:t>
      </w:r>
      <w:r>
        <w:rPr>
          <w:b/>
          <w:color w:val="231F20"/>
          <w:spacing w:val="-16"/>
          <w:sz w:val="20"/>
        </w:rPr>
        <w:t> </w:t>
      </w:r>
      <w:r>
        <w:rPr>
          <w:b/>
          <w:color w:val="231F20"/>
          <w:sz w:val="20"/>
        </w:rPr>
        <w:t>in</w:t>
      </w:r>
      <w:r>
        <w:rPr>
          <w:b/>
          <w:color w:val="231F20"/>
          <w:spacing w:val="-16"/>
          <w:sz w:val="20"/>
        </w:rPr>
        <w:t> </w:t>
      </w:r>
      <w:r>
        <w:rPr>
          <w:b/>
          <w:color w:val="231F20"/>
          <w:sz w:val="20"/>
        </w:rPr>
        <w:t>the</w:t>
      </w:r>
      <w:r>
        <w:rPr>
          <w:b/>
          <w:color w:val="231F20"/>
          <w:spacing w:val="-17"/>
          <w:sz w:val="20"/>
        </w:rPr>
        <w:t> </w:t>
      </w:r>
      <w:r>
        <w:rPr>
          <w:b/>
          <w:color w:val="231F20"/>
          <w:sz w:val="20"/>
        </w:rPr>
        <w:t>case</w:t>
      </w:r>
      <w:r>
        <w:rPr>
          <w:b/>
          <w:color w:val="231F20"/>
          <w:spacing w:val="-16"/>
          <w:sz w:val="20"/>
        </w:rPr>
        <w:t> </w:t>
      </w:r>
      <w:r>
        <w:rPr>
          <w:b/>
          <w:color w:val="231F20"/>
          <w:sz w:val="20"/>
        </w:rPr>
        <w:t>of</w:t>
      </w:r>
      <w:r>
        <w:rPr>
          <w:b/>
          <w:color w:val="231F20"/>
          <w:spacing w:val="-7"/>
          <w:sz w:val="20"/>
        </w:rPr>
        <w:t> </w:t>
      </w:r>
      <w:r>
        <w:rPr>
          <w:b/>
          <w:color w:val="231F20"/>
          <w:sz w:val="20"/>
        </w:rPr>
        <w:t>holders</w:t>
      </w:r>
      <w:r>
        <w:rPr>
          <w:b/>
          <w:color w:val="231F20"/>
          <w:spacing w:val="-17"/>
          <w:sz w:val="20"/>
        </w:rPr>
        <w:t> </w:t>
      </w:r>
      <w:r>
        <w:rPr>
          <w:b/>
          <w:color w:val="231F20"/>
          <w:sz w:val="20"/>
        </w:rPr>
        <w:t>of</w:t>
      </w:r>
      <w:r>
        <w:rPr>
          <w:b/>
          <w:color w:val="231F20"/>
          <w:spacing w:val="-7"/>
          <w:sz w:val="20"/>
        </w:rPr>
        <w:t> </w:t>
      </w:r>
      <w:r>
        <w:rPr>
          <w:b/>
          <w:color w:val="231F20"/>
          <w:sz w:val="20"/>
        </w:rPr>
        <w:t>our</w:t>
      </w:r>
      <w:r>
        <w:rPr>
          <w:b/>
          <w:color w:val="231F20"/>
          <w:spacing w:val="-16"/>
          <w:sz w:val="20"/>
        </w:rPr>
        <w:t> </w:t>
      </w:r>
      <w:r>
        <w:rPr>
          <w:b/>
          <w:color w:val="231F20"/>
          <w:sz w:val="20"/>
        </w:rPr>
        <w:t>ordinary</w:t>
      </w:r>
      <w:r>
        <w:rPr>
          <w:b/>
          <w:color w:val="231F20"/>
          <w:spacing w:val="-17"/>
          <w:sz w:val="20"/>
        </w:rPr>
        <w:t> </w:t>
      </w:r>
      <w:r>
        <w:rPr>
          <w:b/>
          <w:color w:val="231F20"/>
          <w:sz w:val="20"/>
        </w:rPr>
        <w:t>shares,</w:t>
      </w:r>
      <w:r>
        <w:rPr>
          <w:b/>
          <w:color w:val="231F20"/>
          <w:spacing w:val="-16"/>
          <w:sz w:val="20"/>
        </w:rPr>
        <w:t> </w:t>
      </w:r>
      <w:r>
        <w:rPr>
          <w:b/>
          <w:color w:val="231F20"/>
          <w:sz w:val="20"/>
        </w:rPr>
        <w:t>to attend the Meeting and vote your ordinary shares in</w:t>
      </w:r>
      <w:r>
        <w:rPr>
          <w:b/>
          <w:color w:val="231F20"/>
          <w:spacing w:val="-33"/>
          <w:sz w:val="20"/>
        </w:rPr>
        <w:t> </w:t>
      </w:r>
      <w:r>
        <w:rPr>
          <w:b/>
          <w:color w:val="231F20"/>
          <w:sz w:val="20"/>
        </w:rPr>
        <w:t>person.</w:t>
      </w:r>
    </w:p>
    <w:p>
      <w:pPr>
        <w:pStyle w:val="BodyText"/>
        <w:rPr>
          <w:b/>
          <w:sz w:val="21"/>
        </w:rPr>
      </w:pPr>
    </w:p>
    <w:p>
      <w:pPr>
        <w:pStyle w:val="BodyText"/>
        <w:spacing w:before="1"/>
        <w:ind w:left="5879"/>
      </w:pPr>
      <w:r>
        <w:rPr>
          <w:color w:val="231F20"/>
          <w:w w:val="105"/>
        </w:rPr>
        <w:t>By Order of the Board of Directors,</w:t>
      </w:r>
    </w:p>
    <w:p>
      <w:pPr>
        <w:pStyle w:val="BodyText"/>
        <w:spacing w:before="7"/>
        <w:rPr>
          <w:sz w:val="21"/>
        </w:rPr>
      </w:pPr>
    </w:p>
    <w:p>
      <w:pPr>
        <w:pStyle w:val="BodyText"/>
        <w:spacing w:line="290" w:lineRule="auto"/>
        <w:ind w:left="5879" w:right="3971"/>
      </w:pPr>
      <w:r>
        <w:rPr/>
        <w:pict>
          <v:line style="position:absolute;mso-position-horizontal-relative:page;mso-position-vertical-relative:paragraph;z-index:-16510464" from="308.976013pt,13.576011pt" to="524.500013pt,13.576011pt" stroked="true" strokeweight=".499pt" strokecolor="#231f20">
            <v:stroke dashstyle="solid"/>
            <w10:wrap type="none"/>
          </v:line>
        </w:pict>
      </w:r>
      <w:r>
        <w:rPr>
          <w:color w:val="231F20"/>
          <w:w w:val="105"/>
        </w:rPr>
        <w:t>/s/ Yariv Alroy Yariv Alroy</w:t>
      </w:r>
    </w:p>
    <w:p>
      <w:pPr>
        <w:pStyle w:val="BodyText"/>
        <w:spacing w:line="192" w:lineRule="exact"/>
        <w:ind w:left="5879"/>
      </w:pPr>
      <w:r>
        <w:rPr>
          <w:color w:val="231F20"/>
          <w:w w:val="105"/>
        </w:rPr>
        <w:t>Co-Chairman of the Board of Directors</w:t>
      </w:r>
    </w:p>
    <w:p>
      <w:pPr>
        <w:pStyle w:val="BodyText"/>
        <w:spacing w:line="249" w:lineRule="auto" w:before="169"/>
        <w:ind w:left="1090" w:right="8323"/>
      </w:pPr>
      <w:r>
        <w:rPr>
          <w:color w:val="231F20"/>
          <w:w w:val="105"/>
        </w:rPr>
        <w:t>Tel Aviv, Israel December 28, 2023</w:t>
      </w:r>
    </w:p>
    <w:p>
      <w:pPr>
        <w:spacing w:after="0" w:line="249" w:lineRule="auto"/>
        <w:sectPr>
          <w:footerReference w:type="default" r:id="rId13"/>
          <w:pgSz w:w="11880" w:h="15480"/>
          <w:pgMar w:footer="0" w:header="0" w:top="940" w:bottom="280" w:left="300" w:right="0"/>
        </w:sectPr>
      </w:pPr>
    </w:p>
    <w:p>
      <w:pPr>
        <w:pStyle w:val="Heading2"/>
        <w:spacing w:before="87"/>
        <w:ind w:left="1720" w:right="2017"/>
        <w:jc w:val="center"/>
      </w:pPr>
      <w:r>
        <w:rPr>
          <w:color w:val="231F20"/>
          <w:w w:val="105"/>
        </w:rPr>
        <w:t>SHL TELEMEDICINE LTD.</w:t>
      </w:r>
    </w:p>
    <w:p>
      <w:pPr>
        <w:pStyle w:val="BodyText"/>
        <w:spacing w:line="244" w:lineRule="auto" w:before="169"/>
        <w:ind w:left="2955" w:right="3251"/>
        <w:jc w:val="center"/>
      </w:pPr>
      <w:r>
        <w:rPr>
          <w:color w:val="231F20"/>
        </w:rPr>
        <w:t>Ashdar Building — 2</w:t>
      </w:r>
      <w:r>
        <w:rPr>
          <w:color w:val="231F20"/>
          <w:vertAlign w:val="superscript"/>
        </w:rPr>
        <w:t>nd</w:t>
      </w:r>
      <w:r>
        <w:rPr>
          <w:color w:val="231F20"/>
          <w:vertAlign w:val="baseline"/>
        </w:rPr>
        <w:t> </w:t>
      </w:r>
      <w:r>
        <w:rPr>
          <w:color w:val="231F20"/>
          <w:spacing w:val="-4"/>
          <w:vertAlign w:val="baseline"/>
        </w:rPr>
        <w:t>Floor, </w:t>
      </w:r>
      <w:r>
        <w:rPr>
          <w:color w:val="231F20"/>
          <w:vertAlign w:val="baseline"/>
        </w:rPr>
        <w:t>90 </w:t>
      </w:r>
      <w:r>
        <w:rPr>
          <w:color w:val="231F20"/>
          <w:spacing w:val="-4"/>
          <w:vertAlign w:val="baseline"/>
        </w:rPr>
        <w:t>Yigal </w:t>
      </w:r>
      <w:r>
        <w:rPr>
          <w:color w:val="231F20"/>
          <w:vertAlign w:val="baseline"/>
        </w:rPr>
        <w:t>Alon Street, </w:t>
      </w:r>
      <w:r>
        <w:rPr>
          <w:color w:val="231F20"/>
          <w:spacing w:val="-6"/>
          <w:vertAlign w:val="baseline"/>
        </w:rPr>
        <w:t>Tel </w:t>
      </w:r>
      <w:r>
        <w:rPr>
          <w:color w:val="231F20"/>
          <w:spacing w:val="-9"/>
          <w:vertAlign w:val="baseline"/>
        </w:rPr>
        <w:t>Aviv, </w:t>
      </w:r>
      <w:r>
        <w:rPr>
          <w:color w:val="231F20"/>
          <w:vertAlign w:val="baseline"/>
        </w:rPr>
        <w:t>Israel </w:t>
      </w:r>
      <w:r>
        <w:rPr>
          <w:color w:val="231F20"/>
          <w:spacing w:val="-5"/>
          <w:vertAlign w:val="baseline"/>
        </w:rPr>
        <w:t>Tel:</w:t>
      </w:r>
      <w:r>
        <w:rPr>
          <w:color w:val="231F20"/>
          <w:spacing w:val="-1"/>
          <w:vertAlign w:val="baseline"/>
        </w:rPr>
        <w:t> </w:t>
      </w:r>
      <w:r>
        <w:rPr>
          <w:color w:val="231F20"/>
          <w:vertAlign w:val="baseline"/>
        </w:rPr>
        <w:t>+972-9-972-3-561-2212</w:t>
      </w:r>
    </w:p>
    <w:p>
      <w:pPr>
        <w:pStyle w:val="BodyText"/>
        <w:spacing w:before="10"/>
      </w:pPr>
    </w:p>
    <w:p>
      <w:pPr>
        <w:pStyle w:val="Heading2"/>
        <w:ind w:left="1720" w:right="2017"/>
        <w:jc w:val="center"/>
      </w:pPr>
      <w:r>
        <w:rPr>
          <w:color w:val="231F20"/>
        </w:rPr>
        <w:t>PROXY STATEMENT</w:t>
      </w:r>
    </w:p>
    <w:p>
      <w:pPr>
        <w:pStyle w:val="BodyText"/>
        <w:spacing w:before="7"/>
        <w:rPr>
          <w:b/>
          <w:sz w:val="21"/>
        </w:rPr>
      </w:pPr>
    </w:p>
    <w:p>
      <w:pPr>
        <w:spacing w:line="499" w:lineRule="auto" w:before="0"/>
        <w:ind w:left="2955" w:right="3251" w:firstLine="0"/>
        <w:jc w:val="center"/>
        <w:rPr>
          <w:b/>
          <w:sz w:val="20"/>
        </w:rPr>
      </w:pPr>
      <w:r>
        <w:rPr>
          <w:b/>
          <w:color w:val="231F20"/>
          <w:sz w:val="20"/>
        </w:rPr>
        <w:t>ANNUAL GENERAL MEETING OF </w:t>
      </w:r>
      <w:r>
        <w:rPr>
          <w:b/>
          <w:color w:val="231F20"/>
          <w:spacing w:val="-2"/>
          <w:sz w:val="20"/>
        </w:rPr>
        <w:t>SHAREHOLDERS </w:t>
      </w:r>
      <w:r>
        <w:rPr>
          <w:b/>
          <w:color w:val="231F20"/>
          <w:sz w:val="20"/>
        </w:rPr>
        <w:t>ABOUT THE ANNUAL GENERAL</w:t>
      </w:r>
      <w:r>
        <w:rPr>
          <w:b/>
          <w:color w:val="231F20"/>
          <w:spacing w:val="14"/>
          <w:sz w:val="20"/>
        </w:rPr>
        <w:t> </w:t>
      </w:r>
      <w:r>
        <w:rPr>
          <w:b/>
          <w:color w:val="231F20"/>
          <w:sz w:val="20"/>
        </w:rPr>
        <w:t>MEETING</w:t>
      </w:r>
    </w:p>
    <w:p>
      <w:pPr>
        <w:pStyle w:val="Heading2"/>
        <w:spacing w:before="1"/>
      </w:pPr>
      <w:r>
        <w:rPr>
          <w:color w:val="231F20"/>
        </w:rPr>
        <w:t>Q:</w:t>
      </w:r>
      <w:r>
        <w:rPr>
          <w:color w:val="231F20"/>
          <w:spacing w:val="49"/>
        </w:rPr>
        <w:t> </w:t>
      </w:r>
      <w:r>
        <w:rPr>
          <w:color w:val="231F20"/>
        </w:rPr>
        <w:t>When</w:t>
      </w:r>
      <w:r>
        <w:rPr>
          <w:color w:val="231F20"/>
          <w:spacing w:val="-23"/>
        </w:rPr>
        <w:t> </w:t>
      </w:r>
      <w:r>
        <w:rPr>
          <w:color w:val="231F20"/>
        </w:rPr>
        <w:t>and</w:t>
      </w:r>
      <w:r>
        <w:rPr>
          <w:color w:val="231F20"/>
          <w:spacing w:val="-23"/>
        </w:rPr>
        <w:t> </w:t>
      </w:r>
      <w:r>
        <w:rPr>
          <w:color w:val="231F20"/>
        </w:rPr>
        <w:t>where</w:t>
      </w:r>
      <w:r>
        <w:rPr>
          <w:color w:val="231F20"/>
          <w:spacing w:val="-23"/>
        </w:rPr>
        <w:t> </w:t>
      </w:r>
      <w:r>
        <w:rPr>
          <w:color w:val="231F20"/>
        </w:rPr>
        <w:t>is</w:t>
      </w:r>
      <w:r>
        <w:rPr>
          <w:color w:val="231F20"/>
          <w:spacing w:val="-23"/>
        </w:rPr>
        <w:t> </w:t>
      </w:r>
      <w:r>
        <w:rPr>
          <w:color w:val="231F20"/>
        </w:rPr>
        <w:t>the</w:t>
      </w:r>
      <w:r>
        <w:rPr>
          <w:color w:val="231F20"/>
          <w:spacing w:val="-22"/>
        </w:rPr>
        <w:t> </w:t>
      </w:r>
      <w:r>
        <w:rPr>
          <w:color w:val="231F20"/>
        </w:rPr>
        <w:t>Annual</w:t>
      </w:r>
      <w:r>
        <w:rPr>
          <w:color w:val="231F20"/>
          <w:spacing w:val="-23"/>
        </w:rPr>
        <w:t> </w:t>
      </w:r>
      <w:r>
        <w:rPr>
          <w:color w:val="231F20"/>
        </w:rPr>
        <w:t>General</w:t>
      </w:r>
      <w:r>
        <w:rPr>
          <w:color w:val="231F20"/>
          <w:spacing w:val="-23"/>
        </w:rPr>
        <w:t> </w:t>
      </w:r>
      <w:r>
        <w:rPr>
          <w:color w:val="231F20"/>
        </w:rPr>
        <w:t>Meeting</w:t>
      </w:r>
      <w:r>
        <w:rPr>
          <w:color w:val="231F20"/>
          <w:spacing w:val="-23"/>
        </w:rPr>
        <w:t> </w:t>
      </w:r>
      <w:r>
        <w:rPr>
          <w:color w:val="231F20"/>
        </w:rPr>
        <w:t>of</w:t>
      </w:r>
      <w:r>
        <w:rPr>
          <w:color w:val="231F20"/>
          <w:spacing w:val="-15"/>
        </w:rPr>
        <w:t> </w:t>
      </w:r>
      <w:r>
        <w:rPr>
          <w:color w:val="231F20"/>
        </w:rPr>
        <w:t>Shareholders</w:t>
      </w:r>
      <w:r>
        <w:rPr>
          <w:color w:val="231F20"/>
          <w:spacing w:val="-23"/>
        </w:rPr>
        <w:t> </w:t>
      </w:r>
      <w:r>
        <w:rPr>
          <w:color w:val="231F20"/>
        </w:rPr>
        <w:t>being</w:t>
      </w:r>
      <w:r>
        <w:rPr>
          <w:color w:val="231F20"/>
          <w:spacing w:val="-23"/>
        </w:rPr>
        <w:t> </w:t>
      </w:r>
      <w:r>
        <w:rPr>
          <w:color w:val="231F20"/>
        </w:rPr>
        <w:t>held?</w:t>
      </w:r>
    </w:p>
    <w:p>
      <w:pPr>
        <w:pStyle w:val="BodyText"/>
        <w:spacing w:line="244" w:lineRule="auto" w:before="170"/>
        <w:ind w:left="1489" w:right="1386" w:hanging="400"/>
      </w:pPr>
      <w:r>
        <w:rPr>
          <w:color w:val="231F20"/>
          <w:w w:val="110"/>
        </w:rPr>
        <w:t>A:</w:t>
      </w:r>
      <w:r>
        <w:rPr>
          <w:color w:val="231F20"/>
          <w:spacing w:val="25"/>
          <w:w w:val="110"/>
        </w:rPr>
        <w:t> </w:t>
      </w:r>
      <w:r>
        <w:rPr>
          <w:color w:val="231F20"/>
          <w:w w:val="110"/>
        </w:rPr>
        <w:t>The</w:t>
      </w:r>
      <w:r>
        <w:rPr>
          <w:color w:val="231F20"/>
          <w:spacing w:val="-20"/>
          <w:w w:val="110"/>
        </w:rPr>
        <w:t> </w:t>
      </w:r>
      <w:r>
        <w:rPr>
          <w:color w:val="231F20"/>
          <w:w w:val="110"/>
        </w:rPr>
        <w:t>Meeting</w:t>
      </w:r>
      <w:r>
        <w:rPr>
          <w:color w:val="231F20"/>
          <w:spacing w:val="-21"/>
          <w:w w:val="110"/>
        </w:rPr>
        <w:t> </w:t>
      </w:r>
      <w:r>
        <w:rPr>
          <w:color w:val="231F20"/>
          <w:w w:val="110"/>
        </w:rPr>
        <w:t>will</w:t>
      </w:r>
      <w:r>
        <w:rPr>
          <w:color w:val="231F20"/>
          <w:spacing w:val="-20"/>
          <w:w w:val="110"/>
        </w:rPr>
        <w:t> </w:t>
      </w:r>
      <w:r>
        <w:rPr>
          <w:color w:val="231F20"/>
          <w:w w:val="110"/>
        </w:rPr>
        <w:t>be</w:t>
      </w:r>
      <w:r>
        <w:rPr>
          <w:color w:val="231F20"/>
          <w:spacing w:val="-20"/>
          <w:w w:val="110"/>
        </w:rPr>
        <w:t> </w:t>
      </w:r>
      <w:r>
        <w:rPr>
          <w:color w:val="231F20"/>
          <w:w w:val="110"/>
        </w:rPr>
        <w:t>held</w:t>
      </w:r>
      <w:r>
        <w:rPr>
          <w:color w:val="231F20"/>
          <w:spacing w:val="-20"/>
          <w:w w:val="110"/>
        </w:rPr>
        <w:t> </w:t>
      </w:r>
      <w:r>
        <w:rPr>
          <w:color w:val="231F20"/>
          <w:w w:val="110"/>
        </w:rPr>
        <w:t>on</w:t>
      </w:r>
      <w:r>
        <w:rPr>
          <w:color w:val="231F20"/>
          <w:spacing w:val="-21"/>
          <w:w w:val="110"/>
        </w:rPr>
        <w:t> </w:t>
      </w:r>
      <w:r>
        <w:rPr>
          <w:color w:val="231F20"/>
          <w:spacing w:val="-3"/>
          <w:w w:val="110"/>
        </w:rPr>
        <w:t>Thursday,</w:t>
      </w:r>
      <w:r>
        <w:rPr>
          <w:color w:val="231F20"/>
          <w:spacing w:val="-20"/>
          <w:w w:val="110"/>
        </w:rPr>
        <w:t> </w:t>
      </w:r>
      <w:r>
        <w:rPr>
          <w:color w:val="231F20"/>
          <w:w w:val="110"/>
        </w:rPr>
        <w:t>February</w:t>
      </w:r>
      <w:r>
        <w:rPr>
          <w:color w:val="231F20"/>
          <w:spacing w:val="-20"/>
          <w:w w:val="110"/>
        </w:rPr>
        <w:t> </w:t>
      </w:r>
      <w:r>
        <w:rPr>
          <w:color w:val="231F20"/>
          <w:w w:val="110"/>
        </w:rPr>
        <w:t>8,</w:t>
      </w:r>
      <w:r>
        <w:rPr>
          <w:color w:val="231F20"/>
          <w:spacing w:val="-21"/>
          <w:w w:val="110"/>
        </w:rPr>
        <w:t> </w:t>
      </w:r>
      <w:r>
        <w:rPr>
          <w:color w:val="231F20"/>
          <w:w w:val="110"/>
        </w:rPr>
        <w:t>2024,</w:t>
      </w:r>
      <w:r>
        <w:rPr>
          <w:color w:val="231F20"/>
          <w:spacing w:val="-20"/>
          <w:w w:val="110"/>
        </w:rPr>
        <w:t> </w:t>
      </w:r>
      <w:r>
        <w:rPr>
          <w:color w:val="231F20"/>
          <w:spacing w:val="-3"/>
          <w:w w:val="110"/>
        </w:rPr>
        <w:t>at</w:t>
      </w:r>
      <w:r>
        <w:rPr>
          <w:color w:val="231F20"/>
          <w:spacing w:val="-20"/>
          <w:w w:val="110"/>
        </w:rPr>
        <w:t> </w:t>
      </w:r>
      <w:r>
        <w:rPr>
          <w:color w:val="231F20"/>
          <w:w w:val="110"/>
        </w:rPr>
        <w:t>5:00</w:t>
      </w:r>
      <w:r>
        <w:rPr>
          <w:color w:val="231F20"/>
          <w:spacing w:val="-20"/>
          <w:w w:val="110"/>
        </w:rPr>
        <w:t> </w:t>
      </w:r>
      <w:r>
        <w:rPr>
          <w:color w:val="231F20"/>
          <w:spacing w:val="-4"/>
          <w:w w:val="110"/>
        </w:rPr>
        <w:t>p.m.</w:t>
      </w:r>
      <w:r>
        <w:rPr>
          <w:color w:val="231F20"/>
          <w:spacing w:val="-21"/>
          <w:w w:val="110"/>
        </w:rPr>
        <w:t> </w:t>
      </w:r>
      <w:r>
        <w:rPr>
          <w:color w:val="231F20"/>
          <w:w w:val="110"/>
        </w:rPr>
        <w:t>Israel</w:t>
      </w:r>
      <w:r>
        <w:rPr>
          <w:color w:val="231F20"/>
          <w:spacing w:val="-20"/>
          <w:w w:val="110"/>
        </w:rPr>
        <w:t> </w:t>
      </w:r>
      <w:r>
        <w:rPr>
          <w:color w:val="231F20"/>
          <w:w w:val="110"/>
        </w:rPr>
        <w:t>time,</w:t>
      </w:r>
      <w:r>
        <w:rPr>
          <w:color w:val="231F20"/>
          <w:spacing w:val="-20"/>
          <w:w w:val="110"/>
        </w:rPr>
        <w:t> </w:t>
      </w:r>
      <w:r>
        <w:rPr>
          <w:color w:val="231F20"/>
          <w:spacing w:val="-3"/>
          <w:w w:val="110"/>
        </w:rPr>
        <w:t>at</w:t>
      </w:r>
      <w:r>
        <w:rPr>
          <w:color w:val="231F20"/>
          <w:spacing w:val="-20"/>
          <w:w w:val="110"/>
        </w:rPr>
        <w:t> </w:t>
      </w:r>
      <w:r>
        <w:rPr>
          <w:color w:val="231F20"/>
          <w:w w:val="110"/>
        </w:rPr>
        <w:t>our</w:t>
      </w:r>
      <w:r>
        <w:rPr>
          <w:color w:val="231F20"/>
          <w:spacing w:val="-21"/>
          <w:w w:val="110"/>
        </w:rPr>
        <w:t> </w:t>
      </w:r>
      <w:r>
        <w:rPr>
          <w:color w:val="231F20"/>
          <w:w w:val="110"/>
        </w:rPr>
        <w:t>offices</w:t>
      </w:r>
      <w:r>
        <w:rPr>
          <w:color w:val="231F20"/>
          <w:spacing w:val="-20"/>
          <w:w w:val="110"/>
        </w:rPr>
        <w:t> </w:t>
      </w:r>
      <w:r>
        <w:rPr>
          <w:color w:val="231F20"/>
          <w:spacing w:val="-3"/>
          <w:w w:val="110"/>
        </w:rPr>
        <w:t>at </w:t>
      </w:r>
      <w:r>
        <w:rPr>
          <w:color w:val="231F20"/>
          <w:w w:val="110"/>
        </w:rPr>
        <w:t>Ashdar</w:t>
      </w:r>
      <w:r>
        <w:rPr>
          <w:color w:val="231F20"/>
          <w:spacing w:val="-10"/>
          <w:w w:val="110"/>
        </w:rPr>
        <w:t> </w:t>
      </w:r>
      <w:r>
        <w:rPr>
          <w:color w:val="231F20"/>
          <w:w w:val="110"/>
        </w:rPr>
        <w:t>Building</w:t>
      </w:r>
      <w:r>
        <w:rPr>
          <w:color w:val="231F20"/>
          <w:spacing w:val="-4"/>
          <w:w w:val="110"/>
        </w:rPr>
        <w:t> </w:t>
      </w:r>
      <w:r>
        <w:rPr>
          <w:color w:val="231F20"/>
          <w:w w:val="110"/>
        </w:rPr>
        <w:t>—</w:t>
      </w:r>
      <w:r>
        <w:rPr>
          <w:color w:val="231F20"/>
          <w:spacing w:val="-5"/>
          <w:w w:val="110"/>
        </w:rPr>
        <w:t> </w:t>
      </w:r>
      <w:r>
        <w:rPr>
          <w:color w:val="231F20"/>
          <w:w w:val="110"/>
        </w:rPr>
        <w:t>2</w:t>
      </w:r>
      <w:r>
        <w:rPr>
          <w:color w:val="231F20"/>
          <w:w w:val="110"/>
          <w:vertAlign w:val="superscript"/>
        </w:rPr>
        <w:t>nd</w:t>
      </w:r>
      <w:r>
        <w:rPr>
          <w:color w:val="231F20"/>
          <w:spacing w:val="-9"/>
          <w:w w:val="110"/>
          <w:vertAlign w:val="baseline"/>
        </w:rPr>
        <w:t> </w:t>
      </w:r>
      <w:r>
        <w:rPr>
          <w:color w:val="231F20"/>
          <w:spacing w:val="-4"/>
          <w:w w:val="110"/>
          <w:vertAlign w:val="baseline"/>
        </w:rPr>
        <w:t>Floor,</w:t>
      </w:r>
      <w:r>
        <w:rPr>
          <w:color w:val="231F20"/>
          <w:spacing w:val="-10"/>
          <w:w w:val="110"/>
          <w:vertAlign w:val="baseline"/>
        </w:rPr>
        <w:t> </w:t>
      </w:r>
      <w:r>
        <w:rPr>
          <w:color w:val="231F20"/>
          <w:w w:val="110"/>
          <w:vertAlign w:val="baseline"/>
        </w:rPr>
        <w:t>90</w:t>
      </w:r>
      <w:r>
        <w:rPr>
          <w:color w:val="231F20"/>
          <w:spacing w:val="-9"/>
          <w:w w:val="110"/>
          <w:vertAlign w:val="baseline"/>
        </w:rPr>
        <w:t> </w:t>
      </w:r>
      <w:r>
        <w:rPr>
          <w:color w:val="231F20"/>
          <w:spacing w:val="-4"/>
          <w:w w:val="110"/>
          <w:vertAlign w:val="baseline"/>
        </w:rPr>
        <w:t>Yigal</w:t>
      </w:r>
      <w:r>
        <w:rPr>
          <w:color w:val="231F20"/>
          <w:spacing w:val="-9"/>
          <w:w w:val="110"/>
          <w:vertAlign w:val="baseline"/>
        </w:rPr>
        <w:t> </w:t>
      </w:r>
      <w:r>
        <w:rPr>
          <w:color w:val="231F20"/>
          <w:w w:val="110"/>
          <w:vertAlign w:val="baseline"/>
        </w:rPr>
        <w:t>Alon</w:t>
      </w:r>
      <w:r>
        <w:rPr>
          <w:color w:val="231F20"/>
          <w:spacing w:val="-9"/>
          <w:w w:val="110"/>
          <w:vertAlign w:val="baseline"/>
        </w:rPr>
        <w:t> </w:t>
      </w:r>
      <w:r>
        <w:rPr>
          <w:color w:val="231F20"/>
          <w:w w:val="110"/>
          <w:vertAlign w:val="baseline"/>
        </w:rPr>
        <w:t>Street,</w:t>
      </w:r>
      <w:r>
        <w:rPr>
          <w:color w:val="231F20"/>
          <w:spacing w:val="-10"/>
          <w:w w:val="110"/>
          <w:vertAlign w:val="baseline"/>
        </w:rPr>
        <w:t> </w:t>
      </w:r>
      <w:r>
        <w:rPr>
          <w:color w:val="231F20"/>
          <w:spacing w:val="-6"/>
          <w:w w:val="110"/>
          <w:vertAlign w:val="baseline"/>
        </w:rPr>
        <w:t>Tel</w:t>
      </w:r>
      <w:r>
        <w:rPr>
          <w:color w:val="231F20"/>
          <w:spacing w:val="-9"/>
          <w:w w:val="110"/>
          <w:vertAlign w:val="baseline"/>
        </w:rPr>
        <w:t> Aviv, </w:t>
      </w:r>
      <w:r>
        <w:rPr>
          <w:color w:val="231F20"/>
          <w:w w:val="110"/>
          <w:vertAlign w:val="baseline"/>
        </w:rPr>
        <w:t>Israel.</w:t>
      </w:r>
    </w:p>
    <w:p>
      <w:pPr>
        <w:pStyle w:val="Heading2"/>
        <w:spacing w:before="239"/>
      </w:pPr>
      <w:r>
        <w:rPr>
          <w:color w:val="231F20"/>
        </w:rPr>
        <w:t>Q: Who can attend the Meeting?</w:t>
      </w:r>
    </w:p>
    <w:p>
      <w:pPr>
        <w:pStyle w:val="BodyText"/>
        <w:spacing w:line="244" w:lineRule="auto" w:before="169"/>
        <w:ind w:left="1489" w:right="1322" w:hanging="400"/>
      </w:pPr>
      <w:r>
        <w:rPr>
          <w:color w:val="231F20"/>
          <w:w w:val="105"/>
        </w:rPr>
        <w:t>A: Holders of our ordinary shares may attend. Holders of our ADSs may attend the Meeting only by first surrendering the applicable ADSs and withdrawing the ordinary shares underlying such ADSs. Current proof of ownership of the Ordinary Shares, as well as a form of personal photo identification, must be presented in order to be admitted to the Meeting.</w:t>
      </w:r>
    </w:p>
    <w:p>
      <w:pPr>
        <w:pStyle w:val="BodyText"/>
        <w:rPr>
          <w:sz w:val="21"/>
        </w:rPr>
      </w:pPr>
    </w:p>
    <w:p>
      <w:pPr>
        <w:pStyle w:val="Heading2"/>
      </w:pPr>
      <w:r>
        <w:rPr>
          <w:color w:val="231F20"/>
        </w:rPr>
        <w:t>Q: Who is entitled to vote?</w:t>
      </w:r>
    </w:p>
    <w:p>
      <w:pPr>
        <w:pStyle w:val="BodyText"/>
        <w:spacing w:line="244" w:lineRule="auto" w:before="169"/>
        <w:ind w:left="1489" w:right="1322" w:hanging="400"/>
      </w:pPr>
      <w:r>
        <w:rPr>
          <w:color w:val="231F20"/>
          <w:w w:val="105"/>
        </w:rPr>
        <w:t>A: Only shareholders at the close of business on January 4, 2024, the Record Date for the Meeting, are entitled to vote at the Meeting. Joint holders of shares should note that, pursuant to Article 26(d) of the Company’s Amended and Restated Articles of Association, the right to vote at the Meeting will be conferred exclusively upon the “senior” among the joint owners attending the Meeting, in person or by proxy, and for this purpose, seniority will be determined by the order in which the names appear in</w:t>
      </w:r>
    </w:p>
    <w:p>
      <w:pPr>
        <w:pStyle w:val="BodyText"/>
        <w:spacing w:before="4"/>
        <w:ind w:left="1489"/>
      </w:pPr>
      <w:r>
        <w:rPr>
          <w:color w:val="231F20"/>
          <w:w w:val="105"/>
        </w:rPr>
        <w:t>the Company’s register of shareholders.</w:t>
      </w:r>
    </w:p>
    <w:p>
      <w:pPr>
        <w:pStyle w:val="BodyText"/>
        <w:spacing w:before="2"/>
        <w:rPr>
          <w:sz w:val="21"/>
        </w:rPr>
      </w:pPr>
    </w:p>
    <w:p>
      <w:pPr>
        <w:pStyle w:val="Heading2"/>
        <w:ind w:left="1720" w:right="2017"/>
        <w:jc w:val="center"/>
      </w:pPr>
      <w:r>
        <w:rPr>
          <w:color w:val="231F20"/>
          <w:w w:val="105"/>
        </w:rPr>
        <w:t>HOW TO VOTE YOUR SHARES</w:t>
      </w:r>
    </w:p>
    <w:p>
      <w:pPr>
        <w:pStyle w:val="BodyText"/>
        <w:spacing w:before="7"/>
        <w:rPr>
          <w:b/>
          <w:sz w:val="12"/>
        </w:rPr>
      </w:pPr>
    </w:p>
    <w:p>
      <w:pPr>
        <w:spacing w:before="104"/>
        <w:ind w:left="1090" w:right="0" w:firstLine="0"/>
        <w:jc w:val="left"/>
        <w:rPr>
          <w:b/>
          <w:sz w:val="20"/>
        </w:rPr>
      </w:pPr>
      <w:r>
        <w:rPr>
          <w:b/>
          <w:color w:val="231F20"/>
          <w:sz w:val="20"/>
        </w:rPr>
        <w:t>Q: How do I vote?</w:t>
      </w:r>
    </w:p>
    <w:p>
      <w:pPr>
        <w:pStyle w:val="BodyText"/>
        <w:spacing w:line="244" w:lineRule="auto" w:before="169"/>
        <w:ind w:left="1489" w:right="1472" w:hanging="400"/>
      </w:pPr>
      <w:r>
        <w:rPr>
          <w:color w:val="231F20"/>
          <w:w w:val="105"/>
        </w:rPr>
        <w:t>A: </w:t>
      </w:r>
      <w:r>
        <w:rPr>
          <w:i/>
          <w:color w:val="231F20"/>
          <w:w w:val="105"/>
        </w:rPr>
        <w:t>Shareholders holding ADSs</w:t>
      </w:r>
      <w:r>
        <w:rPr>
          <w:color w:val="231F20"/>
          <w:w w:val="105"/>
        </w:rPr>
        <w:t>. Shareholders who hold ADSs (whether registered in your name or in “street name”) will receive a voting instruction form from The Bank of New </w:t>
      </w:r>
      <w:r>
        <w:rPr>
          <w:color w:val="231F20"/>
          <w:spacing w:val="-8"/>
          <w:w w:val="105"/>
        </w:rPr>
        <w:t>York </w:t>
      </w:r>
      <w:r>
        <w:rPr>
          <w:color w:val="231F20"/>
          <w:w w:val="105"/>
        </w:rPr>
        <w:t>Mellon (which acts as the Depositary </w:t>
      </w:r>
      <w:r>
        <w:rPr>
          <w:color w:val="231F20"/>
          <w:spacing w:val="-3"/>
          <w:w w:val="105"/>
        </w:rPr>
        <w:t>for </w:t>
      </w:r>
      <w:r>
        <w:rPr>
          <w:color w:val="231F20"/>
          <w:w w:val="105"/>
        </w:rPr>
        <w:t>the ADSs) or from their banks, brokers or other nominees, and are requested to promptly complete, date and sign the voting instruction form and return it in the manner</w:t>
      </w:r>
      <w:r>
        <w:rPr>
          <w:color w:val="231F20"/>
          <w:spacing w:val="13"/>
          <w:w w:val="105"/>
        </w:rPr>
        <w:t> </w:t>
      </w:r>
      <w:r>
        <w:rPr>
          <w:color w:val="231F20"/>
          <w:w w:val="105"/>
        </w:rPr>
        <w:t>specified</w:t>
      </w:r>
    </w:p>
    <w:p>
      <w:pPr>
        <w:pStyle w:val="BodyText"/>
        <w:spacing w:line="244" w:lineRule="auto" w:before="4"/>
        <w:ind w:left="1489" w:right="1383"/>
      </w:pPr>
      <w:r>
        <w:rPr>
          <w:color w:val="231F20"/>
          <w:w w:val="110"/>
        </w:rPr>
        <w:t>on</w:t>
      </w:r>
      <w:r>
        <w:rPr>
          <w:color w:val="231F20"/>
          <w:spacing w:val="-20"/>
          <w:w w:val="110"/>
        </w:rPr>
        <w:t> </w:t>
      </w:r>
      <w:r>
        <w:rPr>
          <w:color w:val="231F20"/>
          <w:w w:val="110"/>
        </w:rPr>
        <w:t>the</w:t>
      </w:r>
      <w:r>
        <w:rPr>
          <w:color w:val="231F20"/>
          <w:spacing w:val="-20"/>
          <w:w w:val="110"/>
        </w:rPr>
        <w:t> </w:t>
      </w:r>
      <w:r>
        <w:rPr>
          <w:color w:val="231F20"/>
          <w:w w:val="110"/>
        </w:rPr>
        <w:t>voting</w:t>
      </w:r>
      <w:r>
        <w:rPr>
          <w:color w:val="231F20"/>
          <w:spacing w:val="-20"/>
          <w:w w:val="110"/>
        </w:rPr>
        <w:t> </w:t>
      </w:r>
      <w:r>
        <w:rPr>
          <w:color w:val="231F20"/>
          <w:w w:val="110"/>
        </w:rPr>
        <w:t>instruction</w:t>
      </w:r>
      <w:r>
        <w:rPr>
          <w:color w:val="231F20"/>
          <w:spacing w:val="-20"/>
          <w:w w:val="110"/>
        </w:rPr>
        <w:t> </w:t>
      </w:r>
      <w:r>
        <w:rPr>
          <w:color w:val="231F20"/>
          <w:w w:val="110"/>
        </w:rPr>
        <w:t>from</w:t>
      </w:r>
      <w:r>
        <w:rPr>
          <w:color w:val="231F20"/>
          <w:spacing w:val="-19"/>
          <w:w w:val="110"/>
        </w:rPr>
        <w:t> </w:t>
      </w:r>
      <w:r>
        <w:rPr>
          <w:color w:val="231F20"/>
          <w:spacing w:val="-3"/>
          <w:w w:val="110"/>
        </w:rPr>
        <w:t>at</w:t>
      </w:r>
      <w:r>
        <w:rPr>
          <w:color w:val="231F20"/>
          <w:spacing w:val="-20"/>
          <w:w w:val="110"/>
        </w:rPr>
        <w:t> </w:t>
      </w:r>
      <w:r>
        <w:rPr>
          <w:color w:val="231F20"/>
          <w:w w:val="110"/>
        </w:rPr>
        <w:t>your</w:t>
      </w:r>
      <w:r>
        <w:rPr>
          <w:color w:val="231F20"/>
          <w:spacing w:val="-20"/>
          <w:w w:val="110"/>
        </w:rPr>
        <w:t> </w:t>
      </w:r>
      <w:r>
        <w:rPr>
          <w:color w:val="231F20"/>
          <w:w w:val="110"/>
        </w:rPr>
        <w:t>earliest</w:t>
      </w:r>
      <w:r>
        <w:rPr>
          <w:color w:val="231F20"/>
          <w:spacing w:val="-20"/>
          <w:w w:val="110"/>
        </w:rPr>
        <w:t> </w:t>
      </w:r>
      <w:r>
        <w:rPr>
          <w:color w:val="231F20"/>
          <w:w w:val="110"/>
        </w:rPr>
        <w:t>convenience</w:t>
      </w:r>
      <w:r>
        <w:rPr>
          <w:color w:val="231F20"/>
          <w:spacing w:val="-19"/>
          <w:w w:val="110"/>
        </w:rPr>
        <w:t> </w:t>
      </w:r>
      <w:r>
        <w:rPr>
          <w:color w:val="231F20"/>
          <w:w w:val="110"/>
        </w:rPr>
        <w:t>so</w:t>
      </w:r>
      <w:r>
        <w:rPr>
          <w:color w:val="231F20"/>
          <w:spacing w:val="-20"/>
          <w:w w:val="110"/>
        </w:rPr>
        <w:t> </w:t>
      </w:r>
      <w:r>
        <w:rPr>
          <w:color w:val="231F20"/>
          <w:w w:val="110"/>
        </w:rPr>
        <w:t>that</w:t>
      </w:r>
      <w:r>
        <w:rPr>
          <w:color w:val="231F20"/>
          <w:spacing w:val="-20"/>
          <w:w w:val="110"/>
        </w:rPr>
        <w:t> </w:t>
      </w:r>
      <w:r>
        <w:rPr>
          <w:color w:val="231F20"/>
          <w:w w:val="110"/>
        </w:rPr>
        <w:t>it</w:t>
      </w:r>
      <w:r>
        <w:rPr>
          <w:color w:val="231F20"/>
          <w:spacing w:val="-20"/>
          <w:w w:val="110"/>
        </w:rPr>
        <w:t> </w:t>
      </w:r>
      <w:r>
        <w:rPr>
          <w:color w:val="231F20"/>
          <w:w w:val="110"/>
        </w:rPr>
        <w:t>will</w:t>
      </w:r>
      <w:r>
        <w:rPr>
          <w:color w:val="231F20"/>
          <w:spacing w:val="-19"/>
          <w:w w:val="110"/>
        </w:rPr>
        <w:t> </w:t>
      </w:r>
      <w:r>
        <w:rPr>
          <w:color w:val="231F20"/>
          <w:w w:val="110"/>
        </w:rPr>
        <w:t>be</w:t>
      </w:r>
      <w:r>
        <w:rPr>
          <w:color w:val="231F20"/>
          <w:spacing w:val="-20"/>
          <w:w w:val="110"/>
        </w:rPr>
        <w:t> </w:t>
      </w:r>
      <w:r>
        <w:rPr>
          <w:color w:val="231F20"/>
          <w:w w:val="110"/>
        </w:rPr>
        <w:t>received</w:t>
      </w:r>
      <w:r>
        <w:rPr>
          <w:color w:val="231F20"/>
          <w:spacing w:val="-20"/>
          <w:w w:val="110"/>
        </w:rPr>
        <w:t> </w:t>
      </w:r>
      <w:r>
        <w:rPr>
          <w:color w:val="231F20"/>
          <w:w w:val="110"/>
        </w:rPr>
        <w:t>no</w:t>
      </w:r>
      <w:r>
        <w:rPr>
          <w:color w:val="231F20"/>
          <w:spacing w:val="-20"/>
          <w:w w:val="110"/>
        </w:rPr>
        <w:t> </w:t>
      </w:r>
      <w:r>
        <w:rPr>
          <w:color w:val="231F20"/>
          <w:w w:val="110"/>
        </w:rPr>
        <w:t>later</w:t>
      </w:r>
      <w:r>
        <w:rPr>
          <w:color w:val="231F20"/>
          <w:spacing w:val="-19"/>
          <w:w w:val="110"/>
        </w:rPr>
        <w:t> </w:t>
      </w:r>
      <w:r>
        <w:rPr>
          <w:color w:val="231F20"/>
          <w:w w:val="110"/>
        </w:rPr>
        <w:t>than</w:t>
      </w:r>
      <w:r>
        <w:rPr>
          <w:color w:val="231F20"/>
          <w:spacing w:val="-20"/>
          <w:w w:val="110"/>
        </w:rPr>
        <w:t> </w:t>
      </w:r>
      <w:r>
        <w:rPr>
          <w:color w:val="231F20"/>
          <w:w w:val="110"/>
        </w:rPr>
        <w:t>the date</w:t>
      </w:r>
      <w:r>
        <w:rPr>
          <w:color w:val="231F20"/>
          <w:spacing w:val="-26"/>
          <w:w w:val="110"/>
        </w:rPr>
        <w:t> </w:t>
      </w:r>
      <w:r>
        <w:rPr>
          <w:color w:val="231F20"/>
          <w:w w:val="110"/>
        </w:rPr>
        <w:t>and</w:t>
      </w:r>
      <w:r>
        <w:rPr>
          <w:color w:val="231F20"/>
          <w:spacing w:val="-25"/>
          <w:w w:val="110"/>
        </w:rPr>
        <w:t> </w:t>
      </w:r>
      <w:r>
        <w:rPr>
          <w:color w:val="231F20"/>
          <w:w w:val="110"/>
        </w:rPr>
        <w:t>time</w:t>
      </w:r>
      <w:r>
        <w:rPr>
          <w:color w:val="231F20"/>
          <w:spacing w:val="-25"/>
          <w:w w:val="110"/>
        </w:rPr>
        <w:t> </w:t>
      </w:r>
      <w:r>
        <w:rPr>
          <w:color w:val="231F20"/>
          <w:w w:val="110"/>
        </w:rPr>
        <w:t>indicated</w:t>
      </w:r>
      <w:r>
        <w:rPr>
          <w:color w:val="231F20"/>
          <w:spacing w:val="-26"/>
          <w:w w:val="110"/>
        </w:rPr>
        <w:t> </w:t>
      </w:r>
      <w:r>
        <w:rPr>
          <w:color w:val="231F20"/>
          <w:w w:val="110"/>
        </w:rPr>
        <w:t>thereon.</w:t>
      </w:r>
      <w:r>
        <w:rPr>
          <w:color w:val="231F20"/>
          <w:spacing w:val="-25"/>
          <w:w w:val="110"/>
        </w:rPr>
        <w:t> </w:t>
      </w:r>
      <w:r>
        <w:rPr>
          <w:color w:val="231F20"/>
          <w:spacing w:val="-6"/>
          <w:w w:val="110"/>
        </w:rPr>
        <w:t>For</w:t>
      </w:r>
      <w:r>
        <w:rPr>
          <w:color w:val="231F20"/>
          <w:spacing w:val="-25"/>
          <w:w w:val="110"/>
        </w:rPr>
        <w:t> </w:t>
      </w:r>
      <w:r>
        <w:rPr>
          <w:color w:val="231F20"/>
          <w:w w:val="110"/>
        </w:rPr>
        <w:t>ADSs</w:t>
      </w:r>
      <w:r>
        <w:rPr>
          <w:color w:val="231F20"/>
          <w:spacing w:val="-25"/>
          <w:w w:val="110"/>
        </w:rPr>
        <w:t> </w:t>
      </w:r>
      <w:r>
        <w:rPr>
          <w:color w:val="231F20"/>
          <w:w w:val="110"/>
        </w:rPr>
        <w:t>that</w:t>
      </w:r>
      <w:r>
        <w:rPr>
          <w:color w:val="231F20"/>
          <w:spacing w:val="-26"/>
          <w:w w:val="110"/>
        </w:rPr>
        <w:t> </w:t>
      </w:r>
      <w:r>
        <w:rPr>
          <w:color w:val="231F20"/>
          <w:w w:val="110"/>
        </w:rPr>
        <w:t>are</w:t>
      </w:r>
      <w:r>
        <w:rPr>
          <w:color w:val="231F20"/>
          <w:spacing w:val="-25"/>
          <w:w w:val="110"/>
        </w:rPr>
        <w:t> </w:t>
      </w:r>
      <w:r>
        <w:rPr>
          <w:color w:val="231F20"/>
          <w:w w:val="110"/>
        </w:rPr>
        <w:t>held</w:t>
      </w:r>
      <w:r>
        <w:rPr>
          <w:color w:val="231F20"/>
          <w:spacing w:val="-25"/>
          <w:w w:val="110"/>
        </w:rPr>
        <w:t> </w:t>
      </w:r>
      <w:r>
        <w:rPr>
          <w:color w:val="231F20"/>
          <w:w w:val="110"/>
        </w:rPr>
        <w:t>in</w:t>
      </w:r>
      <w:r>
        <w:rPr>
          <w:color w:val="231F20"/>
          <w:spacing w:val="-25"/>
          <w:w w:val="110"/>
        </w:rPr>
        <w:t> </w:t>
      </w:r>
      <w:r>
        <w:rPr>
          <w:color w:val="231F20"/>
          <w:w w:val="110"/>
        </w:rPr>
        <w:t>“street</w:t>
      </w:r>
      <w:r>
        <w:rPr>
          <w:color w:val="231F20"/>
          <w:spacing w:val="-26"/>
          <w:w w:val="110"/>
        </w:rPr>
        <w:t> </w:t>
      </w:r>
      <w:r>
        <w:rPr>
          <w:color w:val="231F20"/>
          <w:w w:val="110"/>
        </w:rPr>
        <w:t>name”</w:t>
      </w:r>
      <w:r>
        <w:rPr>
          <w:color w:val="231F20"/>
          <w:spacing w:val="-34"/>
          <w:w w:val="110"/>
        </w:rPr>
        <w:t> </w:t>
      </w:r>
      <w:r>
        <w:rPr>
          <w:color w:val="231F20"/>
          <w:w w:val="110"/>
        </w:rPr>
        <w:t>through</w:t>
      </w:r>
      <w:r>
        <w:rPr>
          <w:color w:val="231F20"/>
          <w:spacing w:val="-25"/>
          <w:w w:val="110"/>
        </w:rPr>
        <w:t> </w:t>
      </w:r>
      <w:r>
        <w:rPr>
          <w:color w:val="231F20"/>
          <w:w w:val="110"/>
        </w:rPr>
        <w:t>a</w:t>
      </w:r>
      <w:r>
        <w:rPr>
          <w:color w:val="231F20"/>
          <w:spacing w:val="-25"/>
          <w:w w:val="110"/>
        </w:rPr>
        <w:t> </w:t>
      </w:r>
      <w:r>
        <w:rPr>
          <w:color w:val="231F20"/>
          <w:w w:val="110"/>
        </w:rPr>
        <w:t>bank,</w:t>
      </w:r>
      <w:r>
        <w:rPr>
          <w:color w:val="231F20"/>
          <w:spacing w:val="-26"/>
          <w:w w:val="110"/>
        </w:rPr>
        <w:t> </w:t>
      </w:r>
      <w:r>
        <w:rPr>
          <w:color w:val="231F20"/>
          <w:spacing w:val="-3"/>
          <w:w w:val="110"/>
        </w:rPr>
        <w:t>broker</w:t>
      </w:r>
      <w:r>
        <w:rPr>
          <w:color w:val="231F20"/>
          <w:spacing w:val="-25"/>
          <w:w w:val="110"/>
        </w:rPr>
        <w:t> </w:t>
      </w:r>
      <w:r>
        <w:rPr>
          <w:color w:val="231F20"/>
          <w:w w:val="110"/>
        </w:rPr>
        <w:t>or</w:t>
      </w:r>
      <w:r>
        <w:rPr>
          <w:color w:val="231F20"/>
          <w:spacing w:val="-25"/>
          <w:w w:val="110"/>
        </w:rPr>
        <w:t> </w:t>
      </w:r>
      <w:r>
        <w:rPr>
          <w:color w:val="231F20"/>
          <w:w w:val="110"/>
        </w:rPr>
        <w:t>other nominee,</w:t>
      </w:r>
      <w:r>
        <w:rPr>
          <w:color w:val="231F20"/>
          <w:spacing w:val="-23"/>
          <w:w w:val="110"/>
        </w:rPr>
        <w:t> </w:t>
      </w:r>
      <w:r>
        <w:rPr>
          <w:color w:val="231F20"/>
          <w:w w:val="110"/>
        </w:rPr>
        <w:t>the</w:t>
      </w:r>
      <w:r>
        <w:rPr>
          <w:color w:val="231F20"/>
          <w:spacing w:val="-23"/>
          <w:w w:val="110"/>
        </w:rPr>
        <w:t> </w:t>
      </w:r>
      <w:r>
        <w:rPr>
          <w:color w:val="231F20"/>
          <w:w w:val="110"/>
        </w:rPr>
        <w:t>voting</w:t>
      </w:r>
      <w:r>
        <w:rPr>
          <w:color w:val="231F20"/>
          <w:spacing w:val="-23"/>
          <w:w w:val="110"/>
        </w:rPr>
        <w:t> </w:t>
      </w:r>
      <w:r>
        <w:rPr>
          <w:color w:val="231F20"/>
          <w:w w:val="110"/>
        </w:rPr>
        <w:t>process</w:t>
      </w:r>
      <w:r>
        <w:rPr>
          <w:color w:val="231F20"/>
          <w:spacing w:val="-23"/>
          <w:w w:val="110"/>
        </w:rPr>
        <w:t> </w:t>
      </w:r>
      <w:r>
        <w:rPr>
          <w:color w:val="231F20"/>
          <w:w w:val="110"/>
        </w:rPr>
        <w:t>will</w:t>
      </w:r>
      <w:r>
        <w:rPr>
          <w:color w:val="231F20"/>
          <w:spacing w:val="-23"/>
          <w:w w:val="110"/>
        </w:rPr>
        <w:t> </w:t>
      </w:r>
      <w:r>
        <w:rPr>
          <w:color w:val="231F20"/>
          <w:w w:val="110"/>
        </w:rPr>
        <w:t>be</w:t>
      </w:r>
      <w:r>
        <w:rPr>
          <w:color w:val="231F20"/>
          <w:spacing w:val="-23"/>
          <w:w w:val="110"/>
        </w:rPr>
        <w:t> </w:t>
      </w:r>
      <w:r>
        <w:rPr>
          <w:color w:val="231F20"/>
          <w:w w:val="110"/>
        </w:rPr>
        <w:t>based</w:t>
      </w:r>
      <w:r>
        <w:rPr>
          <w:color w:val="231F20"/>
          <w:spacing w:val="-23"/>
          <w:w w:val="110"/>
        </w:rPr>
        <w:t> </w:t>
      </w:r>
      <w:r>
        <w:rPr>
          <w:color w:val="231F20"/>
          <w:w w:val="110"/>
        </w:rPr>
        <w:t>on</w:t>
      </w:r>
      <w:r>
        <w:rPr>
          <w:color w:val="231F20"/>
          <w:spacing w:val="-23"/>
          <w:w w:val="110"/>
        </w:rPr>
        <w:t> </w:t>
      </w:r>
      <w:r>
        <w:rPr>
          <w:color w:val="231F20"/>
          <w:w w:val="110"/>
        </w:rPr>
        <w:t>the</w:t>
      </w:r>
      <w:r>
        <w:rPr>
          <w:color w:val="231F20"/>
          <w:spacing w:val="-23"/>
          <w:w w:val="110"/>
        </w:rPr>
        <w:t> </w:t>
      </w:r>
      <w:r>
        <w:rPr>
          <w:color w:val="231F20"/>
          <w:w w:val="110"/>
        </w:rPr>
        <w:t>underlying</w:t>
      </w:r>
      <w:r>
        <w:rPr>
          <w:color w:val="231F20"/>
          <w:spacing w:val="-23"/>
          <w:w w:val="110"/>
        </w:rPr>
        <w:t> </w:t>
      </w:r>
      <w:r>
        <w:rPr>
          <w:color w:val="231F20"/>
          <w:w w:val="110"/>
        </w:rPr>
        <w:t>beneficial</w:t>
      </w:r>
      <w:r>
        <w:rPr>
          <w:color w:val="231F20"/>
          <w:spacing w:val="-23"/>
          <w:w w:val="110"/>
        </w:rPr>
        <w:t> </w:t>
      </w:r>
      <w:r>
        <w:rPr>
          <w:color w:val="231F20"/>
          <w:w w:val="110"/>
        </w:rPr>
        <w:t>holder</w:t>
      </w:r>
      <w:r>
        <w:rPr>
          <w:color w:val="231F20"/>
          <w:spacing w:val="-23"/>
          <w:w w:val="110"/>
        </w:rPr>
        <w:t> </w:t>
      </w:r>
      <w:r>
        <w:rPr>
          <w:color w:val="231F20"/>
          <w:w w:val="110"/>
        </w:rPr>
        <w:t>of</w:t>
      </w:r>
      <w:r>
        <w:rPr>
          <w:color w:val="231F20"/>
          <w:spacing w:val="-10"/>
          <w:w w:val="110"/>
        </w:rPr>
        <w:t> </w:t>
      </w:r>
      <w:r>
        <w:rPr>
          <w:color w:val="231F20"/>
          <w:w w:val="110"/>
        </w:rPr>
        <w:t>the</w:t>
      </w:r>
      <w:r>
        <w:rPr>
          <w:color w:val="231F20"/>
          <w:spacing w:val="-23"/>
          <w:w w:val="110"/>
        </w:rPr>
        <w:t> </w:t>
      </w:r>
      <w:r>
        <w:rPr>
          <w:color w:val="231F20"/>
          <w:w w:val="110"/>
        </w:rPr>
        <w:t>ADSs</w:t>
      </w:r>
      <w:r>
        <w:rPr>
          <w:color w:val="231F20"/>
          <w:spacing w:val="-23"/>
          <w:w w:val="110"/>
        </w:rPr>
        <w:t> </w:t>
      </w:r>
      <w:r>
        <w:rPr>
          <w:color w:val="231F20"/>
          <w:w w:val="110"/>
        </w:rPr>
        <w:t>directing</w:t>
      </w:r>
    </w:p>
    <w:p>
      <w:pPr>
        <w:pStyle w:val="BodyText"/>
        <w:spacing w:line="244" w:lineRule="auto" w:before="3"/>
        <w:ind w:left="1489" w:right="1472"/>
      </w:pPr>
      <w:r>
        <w:rPr>
          <w:color w:val="231F20"/>
          <w:w w:val="105"/>
        </w:rPr>
        <w:t>the bank, broker or other nominee to arrange for BNY Mellon to vote the ordinary shares represented by the ADSs in accordance with the beneficial holder’s voting instructions.</w:t>
      </w:r>
    </w:p>
    <w:p>
      <w:pPr>
        <w:pStyle w:val="BodyText"/>
        <w:spacing w:line="244" w:lineRule="auto" w:before="157"/>
        <w:ind w:left="1489" w:right="1386"/>
      </w:pPr>
      <w:r>
        <w:rPr>
          <w:i/>
          <w:color w:val="231F20"/>
          <w:w w:val="105"/>
        </w:rPr>
        <w:t>Shareholders holding ordinary shares</w:t>
      </w:r>
      <w:r>
        <w:rPr>
          <w:color w:val="231F20"/>
          <w:w w:val="105"/>
        </w:rPr>
        <w:t>.  </w:t>
      </w:r>
      <w:r>
        <w:rPr>
          <w:color w:val="231F20"/>
          <w:spacing w:val="-11"/>
          <w:w w:val="105"/>
        </w:rPr>
        <w:t>To </w:t>
      </w:r>
      <w:r>
        <w:rPr>
          <w:color w:val="231F20"/>
          <w:w w:val="105"/>
        </w:rPr>
        <w:t>be </w:t>
      </w:r>
      <w:r>
        <w:rPr>
          <w:color w:val="231F20"/>
          <w:spacing w:val="-3"/>
          <w:w w:val="105"/>
        </w:rPr>
        <w:t>able </w:t>
      </w:r>
      <w:r>
        <w:rPr>
          <w:color w:val="231F20"/>
          <w:w w:val="105"/>
        </w:rPr>
        <w:t>to participate and vote in the Meeting, a holder of our ordinary shares must be registered with Computershare, by the </w:t>
      </w:r>
      <w:r>
        <w:rPr>
          <w:color w:val="231F20"/>
          <w:spacing w:val="-3"/>
          <w:w w:val="105"/>
        </w:rPr>
        <w:t>Record </w:t>
      </w:r>
      <w:r>
        <w:rPr>
          <w:color w:val="231F20"/>
          <w:spacing w:val="-4"/>
          <w:w w:val="105"/>
        </w:rPr>
        <w:t>Date. </w:t>
      </w:r>
      <w:r>
        <w:rPr>
          <w:color w:val="231F20"/>
          <w:spacing w:val="-11"/>
          <w:w w:val="105"/>
        </w:rPr>
        <w:t>To </w:t>
      </w:r>
      <w:r>
        <w:rPr>
          <w:color w:val="231F20"/>
          <w:w w:val="105"/>
        </w:rPr>
        <w:t>be registered with Computershare, such shareholder should request his or her custody bank to submit a registration request to Computershare through a SIX SIS Ltd. Member institution. Once a shareholder is registered with Computershare, such shareholder can participate and vote in the Meeting by attending the  meeting in person or by completing and returning a </w:t>
      </w:r>
      <w:r>
        <w:rPr>
          <w:color w:val="231F20"/>
          <w:spacing w:val="-3"/>
          <w:w w:val="105"/>
        </w:rPr>
        <w:t>proxy </w:t>
      </w:r>
      <w:r>
        <w:rPr>
          <w:color w:val="231F20"/>
          <w:w w:val="105"/>
        </w:rPr>
        <w:t>or the Ballot </w:t>
      </w:r>
      <w:r>
        <w:rPr>
          <w:color w:val="231F20"/>
          <w:spacing w:val="-4"/>
          <w:w w:val="105"/>
        </w:rPr>
        <w:t>available </w:t>
      </w:r>
      <w:r>
        <w:rPr>
          <w:color w:val="231F20"/>
          <w:w w:val="105"/>
        </w:rPr>
        <w:t>on our website </w:t>
      </w:r>
      <w:r>
        <w:rPr>
          <w:color w:val="231F20"/>
          <w:spacing w:val="-3"/>
          <w:w w:val="105"/>
        </w:rPr>
        <w:t>at </w:t>
      </w:r>
      <w:hyperlink r:id="rId8">
        <w:r>
          <w:rPr>
            <w:color w:val="231F20"/>
            <w:w w:val="105"/>
          </w:rPr>
          <w:t>https://ww</w:t>
        </w:r>
      </w:hyperlink>
      <w:r>
        <w:rPr>
          <w:color w:val="231F20"/>
          <w:w w:val="105"/>
        </w:rPr>
        <w:t>w.shl-te</w:t>
      </w:r>
      <w:hyperlink r:id="rId8">
        <w:r>
          <w:rPr>
            <w:color w:val="231F20"/>
            <w:w w:val="105"/>
          </w:rPr>
          <w:t>lemedicine.com/general-meeting </w:t>
        </w:r>
      </w:hyperlink>
      <w:r>
        <w:rPr>
          <w:color w:val="231F20"/>
          <w:w w:val="105"/>
        </w:rPr>
        <w:t>and on the website of the SEC </w:t>
      </w:r>
      <w:r>
        <w:rPr>
          <w:color w:val="231F20"/>
          <w:spacing w:val="-3"/>
          <w:w w:val="105"/>
        </w:rPr>
        <w:t>at</w:t>
      </w:r>
      <w:r>
        <w:rPr>
          <w:color w:val="231F20"/>
          <w:spacing w:val="39"/>
          <w:w w:val="105"/>
        </w:rPr>
        <w:t> </w:t>
      </w:r>
      <w:hyperlink r:id="rId9">
        <w:r>
          <w:rPr>
            <w:color w:val="231F20"/>
            <w:spacing w:val="-4"/>
            <w:w w:val="105"/>
          </w:rPr>
          <w:t>www.sec.gov.</w:t>
        </w:r>
      </w:hyperlink>
    </w:p>
    <w:p>
      <w:pPr>
        <w:pStyle w:val="BodyText"/>
        <w:spacing w:line="247" w:lineRule="auto" w:before="7"/>
        <w:ind w:left="1489" w:right="1322"/>
      </w:pPr>
      <w:r>
        <w:rPr>
          <w:color w:val="231F20"/>
          <w:w w:val="105"/>
        </w:rPr>
        <w:t>Kindly note that no hard copies will be mailed to holders of our ordinary shares, however if such a shareholder requests that we mail it hard copies of the materials we will do so at no charge. Each proxy or Ballot must be delivered to our Chief Financial Officer at Ashdar Building — 2</w:t>
      </w:r>
      <w:r>
        <w:rPr>
          <w:color w:val="231F20"/>
          <w:w w:val="105"/>
          <w:vertAlign w:val="superscript"/>
        </w:rPr>
        <w:t>nd</w:t>
      </w:r>
      <w:r>
        <w:rPr>
          <w:color w:val="231F20"/>
          <w:w w:val="105"/>
          <w:vertAlign w:val="baseline"/>
        </w:rPr>
        <w:t> Floor, 90 Yigal Alon Street, Tel Aviv, Israel, or by email to </w:t>
      </w:r>
      <w:hyperlink r:id="rId10">
        <w:r>
          <w:rPr>
            <w:color w:val="231F20"/>
            <w:w w:val="105"/>
            <w:vertAlign w:val="baseline"/>
          </w:rPr>
          <w:t>amirh@shahal.co.il, </w:t>
        </w:r>
      </w:hyperlink>
      <w:r>
        <w:rPr>
          <w:color w:val="231F20"/>
          <w:w w:val="105"/>
          <w:vertAlign w:val="baseline"/>
        </w:rPr>
        <w:t>and received no later than forty-eight</w:t>
      </w:r>
    </w:p>
    <w:p>
      <w:pPr>
        <w:pStyle w:val="BodyText"/>
        <w:spacing w:before="2"/>
        <w:ind w:left="1489"/>
      </w:pPr>
      <w:r>
        <w:rPr>
          <w:color w:val="231F20"/>
          <w:w w:val="105"/>
        </w:rPr>
        <w:t>(48) hours and four (4) hours, respectively, prior to the scheduled date and time of the Meeting. The</w:t>
      </w:r>
    </w:p>
    <w:p>
      <w:pPr>
        <w:spacing w:after="0"/>
        <w:sectPr>
          <w:footerReference w:type="default" r:id="rId14"/>
          <w:pgSz w:w="11880" w:h="15480"/>
          <w:pgMar w:footer="664" w:header="0" w:top="940" w:bottom="860" w:left="300" w:right="0"/>
          <w:pgNumType w:start="1"/>
        </w:sectPr>
      </w:pPr>
    </w:p>
    <w:p>
      <w:pPr>
        <w:pStyle w:val="BodyText"/>
        <w:spacing w:line="244" w:lineRule="auto" w:before="87"/>
        <w:ind w:left="1489" w:right="1322"/>
      </w:pPr>
      <w:r>
        <w:rPr>
          <w:color w:val="231F20"/>
          <w:w w:val="105"/>
        </w:rPr>
        <w:t>proxy or Ballot (as applicable), if executed and sent, should be in the name of a person who is attending the Meeting. The shareholder must also enclose a written confirmation from Computershare Schweiz AG as to its ownership of the shares on the Record Date. Such confirmation can be obtained from Computershare by mail at Computershare Schweiz AG, P.O. Box, 4601 Olten, Switzerland; by email</w:t>
      </w:r>
    </w:p>
    <w:p>
      <w:pPr>
        <w:pStyle w:val="BodyText"/>
        <w:spacing w:before="4"/>
        <w:ind w:left="1489"/>
      </w:pPr>
      <w:r>
        <w:rPr>
          <w:color w:val="231F20"/>
          <w:w w:val="105"/>
        </w:rPr>
        <w:t>at share.register@computershare.ch; or by telephone at +41 62 205 77 00.</w:t>
      </w:r>
    </w:p>
    <w:p>
      <w:pPr>
        <w:pStyle w:val="Heading2"/>
        <w:spacing w:before="223"/>
      </w:pPr>
      <w:r>
        <w:rPr>
          <w:color w:val="231F20"/>
        </w:rPr>
        <w:t>Q: Does SHL recommend I vote in advance of the Meeting?</w:t>
      </w:r>
    </w:p>
    <w:p>
      <w:pPr>
        <w:pStyle w:val="BodyText"/>
        <w:spacing w:line="244" w:lineRule="auto" w:before="169"/>
        <w:ind w:left="1489" w:right="1553" w:hanging="400"/>
      </w:pPr>
      <w:r>
        <w:rPr>
          <w:color w:val="231F20"/>
          <w:w w:val="105"/>
        </w:rPr>
        <w:t>A:  </w:t>
      </w:r>
      <w:r>
        <w:rPr>
          <w:b/>
          <w:color w:val="231F20"/>
          <w:spacing w:val="-5"/>
          <w:w w:val="105"/>
        </w:rPr>
        <w:t>Yes.   </w:t>
      </w:r>
      <w:r>
        <w:rPr>
          <w:color w:val="231F20"/>
          <w:w w:val="105"/>
        </w:rPr>
        <w:t>Even if </w:t>
      </w:r>
      <w:r>
        <w:rPr>
          <w:color w:val="231F20"/>
          <w:spacing w:val="-3"/>
          <w:w w:val="105"/>
        </w:rPr>
        <w:t>you </w:t>
      </w:r>
      <w:r>
        <w:rPr>
          <w:color w:val="231F20"/>
          <w:w w:val="105"/>
        </w:rPr>
        <w:t>plan to attend the Meeting, SHL recommends that </w:t>
      </w:r>
      <w:r>
        <w:rPr>
          <w:color w:val="231F20"/>
          <w:spacing w:val="-3"/>
          <w:w w:val="105"/>
        </w:rPr>
        <w:t>you </w:t>
      </w:r>
      <w:r>
        <w:rPr>
          <w:color w:val="231F20"/>
          <w:w w:val="105"/>
        </w:rPr>
        <w:t>vote your shares in advance so that your vote will be counted if </w:t>
      </w:r>
      <w:r>
        <w:rPr>
          <w:color w:val="231F20"/>
          <w:spacing w:val="-3"/>
          <w:w w:val="105"/>
        </w:rPr>
        <w:t>you </w:t>
      </w:r>
      <w:r>
        <w:rPr>
          <w:color w:val="231F20"/>
          <w:w w:val="105"/>
        </w:rPr>
        <w:t>later decide not to attend the</w:t>
      </w:r>
      <w:r>
        <w:rPr>
          <w:color w:val="231F20"/>
          <w:spacing w:val="-10"/>
          <w:w w:val="105"/>
        </w:rPr>
        <w:t> </w:t>
      </w:r>
      <w:r>
        <w:rPr>
          <w:color w:val="231F20"/>
          <w:w w:val="105"/>
        </w:rPr>
        <w:t>Meeting.</w:t>
      </w:r>
    </w:p>
    <w:p>
      <w:pPr>
        <w:pStyle w:val="Heading2"/>
        <w:spacing w:before="220"/>
      </w:pPr>
      <w:r>
        <w:rPr>
          <w:color w:val="231F20"/>
        </w:rPr>
        <w:t>Q: If I vote by voting instruction form, proxy or Ballot, can I change my vote or revoke my instructions?</w:t>
      </w:r>
    </w:p>
    <w:p>
      <w:pPr>
        <w:pStyle w:val="BodyText"/>
        <w:spacing w:line="244" w:lineRule="auto" w:before="169"/>
        <w:ind w:left="1489" w:right="1472" w:hanging="400"/>
      </w:pPr>
      <w:r>
        <w:rPr>
          <w:color w:val="231F20"/>
          <w:w w:val="105"/>
        </w:rPr>
        <w:t>A: </w:t>
      </w:r>
      <w:r>
        <w:rPr>
          <w:b/>
          <w:color w:val="231F20"/>
          <w:spacing w:val="-5"/>
          <w:w w:val="105"/>
        </w:rPr>
        <w:t>Yes. </w:t>
      </w:r>
      <w:r>
        <w:rPr>
          <w:color w:val="231F20"/>
          <w:spacing w:val="-10"/>
          <w:w w:val="105"/>
        </w:rPr>
        <w:t>You </w:t>
      </w:r>
      <w:r>
        <w:rPr>
          <w:color w:val="231F20"/>
          <w:spacing w:val="-3"/>
          <w:w w:val="105"/>
        </w:rPr>
        <w:t>may </w:t>
      </w:r>
      <w:r>
        <w:rPr>
          <w:color w:val="231F20"/>
          <w:w w:val="105"/>
        </w:rPr>
        <w:t>change your instructions </w:t>
      </w:r>
      <w:r>
        <w:rPr>
          <w:color w:val="231F20"/>
          <w:spacing w:val="-3"/>
          <w:w w:val="105"/>
        </w:rPr>
        <w:t>at any </w:t>
      </w:r>
      <w:r>
        <w:rPr>
          <w:color w:val="231F20"/>
          <w:w w:val="105"/>
        </w:rPr>
        <w:t>time prior to the Meeting. If </w:t>
      </w:r>
      <w:r>
        <w:rPr>
          <w:color w:val="231F20"/>
          <w:spacing w:val="-3"/>
          <w:w w:val="105"/>
        </w:rPr>
        <w:t>you </w:t>
      </w:r>
      <w:r>
        <w:rPr>
          <w:color w:val="231F20"/>
          <w:w w:val="105"/>
        </w:rPr>
        <w:t>hold ADSs, </w:t>
      </w:r>
      <w:r>
        <w:rPr>
          <w:color w:val="231F20"/>
          <w:spacing w:val="-3"/>
          <w:w w:val="105"/>
        </w:rPr>
        <w:t>you </w:t>
      </w:r>
      <w:r>
        <w:rPr>
          <w:color w:val="231F20"/>
          <w:w w:val="105"/>
        </w:rPr>
        <w:t>can </w:t>
      </w:r>
      <w:r>
        <w:rPr>
          <w:color w:val="231F20"/>
          <w:spacing w:val="-4"/>
          <w:w w:val="105"/>
        </w:rPr>
        <w:t>revoke </w:t>
      </w:r>
      <w:r>
        <w:rPr>
          <w:color w:val="231F20"/>
          <w:w w:val="105"/>
        </w:rPr>
        <w:t>your voting instructions by filing with Bank of New </w:t>
      </w:r>
      <w:r>
        <w:rPr>
          <w:color w:val="231F20"/>
          <w:spacing w:val="-8"/>
          <w:w w:val="105"/>
        </w:rPr>
        <w:t>York </w:t>
      </w:r>
      <w:r>
        <w:rPr>
          <w:color w:val="231F20"/>
          <w:w w:val="105"/>
        </w:rPr>
        <w:t>Mellon a written notice of revocation or a duly completed voting instruction form bearing a later date </w:t>
      </w:r>
      <w:r>
        <w:rPr>
          <w:color w:val="231F20"/>
          <w:spacing w:val="-3"/>
          <w:w w:val="105"/>
        </w:rPr>
        <w:t>at any </w:t>
      </w:r>
      <w:r>
        <w:rPr>
          <w:color w:val="231F20"/>
          <w:w w:val="105"/>
        </w:rPr>
        <w:t>time before the deadline. If  your ADSs are held in “street </w:t>
      </w:r>
      <w:r>
        <w:rPr>
          <w:color w:val="231F20"/>
          <w:spacing w:val="-4"/>
          <w:w w:val="105"/>
        </w:rPr>
        <w:t>name,” </w:t>
      </w:r>
      <w:r>
        <w:rPr>
          <w:color w:val="231F20"/>
          <w:spacing w:val="-3"/>
          <w:w w:val="105"/>
        </w:rPr>
        <w:t>you may </w:t>
      </w:r>
      <w:r>
        <w:rPr>
          <w:color w:val="231F20"/>
          <w:w w:val="105"/>
        </w:rPr>
        <w:t>change your vote by submitting new voting instructions to your </w:t>
      </w:r>
      <w:r>
        <w:rPr>
          <w:color w:val="231F20"/>
          <w:spacing w:val="-5"/>
          <w:w w:val="105"/>
        </w:rPr>
        <w:t>broker, </w:t>
      </w:r>
      <w:r>
        <w:rPr>
          <w:color w:val="231F20"/>
          <w:w w:val="105"/>
        </w:rPr>
        <w:t>bank, trustee or nominee prior to the applicable deadline. If </w:t>
      </w:r>
      <w:r>
        <w:rPr>
          <w:color w:val="231F20"/>
          <w:spacing w:val="-3"/>
          <w:w w:val="105"/>
        </w:rPr>
        <w:t>you </w:t>
      </w:r>
      <w:r>
        <w:rPr>
          <w:color w:val="231F20"/>
          <w:w w:val="105"/>
        </w:rPr>
        <w:t>hold ordinary</w:t>
      </w:r>
    </w:p>
    <w:p>
      <w:pPr>
        <w:pStyle w:val="BodyText"/>
        <w:spacing w:line="244" w:lineRule="auto" w:before="4"/>
        <w:ind w:left="1489" w:right="1386"/>
      </w:pPr>
      <w:r>
        <w:rPr>
          <w:color w:val="231F20"/>
          <w:w w:val="105"/>
        </w:rPr>
        <w:t>shares, you can provide a written notice of revocation or a duly completed proxy or Ballot bearing a later date prior to the applicable deadline for submitting a proxy or Ballot.</w:t>
      </w:r>
    </w:p>
    <w:p>
      <w:pPr>
        <w:pStyle w:val="Heading2"/>
        <w:spacing w:before="220"/>
      </w:pPr>
      <w:r>
        <w:rPr>
          <w:color w:val="231F20"/>
        </w:rPr>
        <w:t>Q: How are my votes cast when I submit a voting instruction form, proxy or Ballot?</w:t>
      </w:r>
    </w:p>
    <w:p>
      <w:pPr>
        <w:pStyle w:val="BodyText"/>
        <w:spacing w:line="244" w:lineRule="auto" w:before="169"/>
        <w:ind w:left="1489" w:right="1322" w:hanging="400"/>
      </w:pPr>
      <w:r>
        <w:rPr>
          <w:color w:val="231F20"/>
          <w:w w:val="105"/>
        </w:rPr>
        <w:t>A: If </w:t>
      </w:r>
      <w:r>
        <w:rPr>
          <w:color w:val="231F20"/>
          <w:spacing w:val="-3"/>
          <w:w w:val="105"/>
        </w:rPr>
        <w:t>you </w:t>
      </w:r>
      <w:r>
        <w:rPr>
          <w:color w:val="231F20"/>
          <w:w w:val="105"/>
        </w:rPr>
        <w:t>hold ADSs and submit a voting instruction form, under the terms of the Deposit Agreement between the </w:t>
      </w:r>
      <w:r>
        <w:rPr>
          <w:color w:val="231F20"/>
          <w:spacing w:val="-4"/>
          <w:w w:val="105"/>
        </w:rPr>
        <w:t>Company, </w:t>
      </w:r>
      <w:r>
        <w:rPr>
          <w:color w:val="231F20"/>
          <w:w w:val="105"/>
        </w:rPr>
        <w:t>The Bank of New </w:t>
      </w:r>
      <w:r>
        <w:rPr>
          <w:color w:val="231F20"/>
          <w:spacing w:val="-8"/>
          <w:w w:val="105"/>
        </w:rPr>
        <w:t>York </w:t>
      </w:r>
      <w:r>
        <w:rPr>
          <w:color w:val="231F20"/>
          <w:w w:val="105"/>
        </w:rPr>
        <w:t>Mellon and the holders of the </w:t>
      </w:r>
      <w:r>
        <w:rPr>
          <w:color w:val="231F20"/>
          <w:spacing w:val="-3"/>
          <w:w w:val="105"/>
        </w:rPr>
        <w:t>Company’s </w:t>
      </w:r>
      <w:r>
        <w:rPr>
          <w:color w:val="231F20"/>
          <w:w w:val="105"/>
        </w:rPr>
        <w:t>ADSs, The Bank of New </w:t>
      </w:r>
      <w:r>
        <w:rPr>
          <w:color w:val="231F20"/>
          <w:spacing w:val="-8"/>
          <w:w w:val="105"/>
        </w:rPr>
        <w:t>York </w:t>
      </w:r>
      <w:r>
        <w:rPr>
          <w:color w:val="231F20"/>
          <w:w w:val="105"/>
        </w:rPr>
        <w:t>Mellon will </w:t>
      </w:r>
      <w:r>
        <w:rPr>
          <w:color w:val="231F20"/>
          <w:spacing w:val="-3"/>
          <w:w w:val="105"/>
        </w:rPr>
        <w:t>endeavor </w:t>
      </w:r>
      <w:r>
        <w:rPr>
          <w:color w:val="231F20"/>
          <w:w w:val="105"/>
        </w:rPr>
        <w:t>(insofar as is practicable) to vote or cause to be voted the number of shares represented by ADSs in accordance with the instructions provided by the</w:t>
      </w:r>
      <w:r>
        <w:rPr>
          <w:color w:val="231F20"/>
          <w:spacing w:val="13"/>
          <w:w w:val="105"/>
        </w:rPr>
        <w:t> </w:t>
      </w:r>
      <w:r>
        <w:rPr>
          <w:color w:val="231F20"/>
          <w:w w:val="105"/>
        </w:rPr>
        <w:t>holders</w:t>
      </w:r>
    </w:p>
    <w:p>
      <w:pPr>
        <w:pStyle w:val="BodyText"/>
        <w:spacing w:line="244" w:lineRule="auto" w:before="4"/>
        <w:ind w:left="1489" w:right="1386"/>
      </w:pPr>
      <w:r>
        <w:rPr>
          <w:color w:val="231F20"/>
          <w:w w:val="105"/>
        </w:rPr>
        <w:t>of ADSs to The Bank of New </w:t>
      </w:r>
      <w:r>
        <w:rPr>
          <w:color w:val="231F20"/>
          <w:spacing w:val="-8"/>
          <w:w w:val="105"/>
        </w:rPr>
        <w:t>York </w:t>
      </w:r>
      <w:r>
        <w:rPr>
          <w:color w:val="231F20"/>
          <w:w w:val="105"/>
        </w:rPr>
        <w:t>Mellon. </w:t>
      </w:r>
      <w:r>
        <w:rPr>
          <w:color w:val="231F20"/>
          <w:spacing w:val="-6"/>
          <w:w w:val="105"/>
        </w:rPr>
        <w:t>For </w:t>
      </w:r>
      <w:r>
        <w:rPr>
          <w:color w:val="231F20"/>
          <w:w w:val="105"/>
        </w:rPr>
        <w:t>ADSs that are held in “street name” through a bank, </w:t>
      </w:r>
      <w:r>
        <w:rPr>
          <w:color w:val="231F20"/>
          <w:spacing w:val="-3"/>
          <w:w w:val="105"/>
        </w:rPr>
        <w:t>broker </w:t>
      </w:r>
      <w:r>
        <w:rPr>
          <w:color w:val="231F20"/>
          <w:w w:val="105"/>
        </w:rPr>
        <w:t>or other nominee, the voting process will be based on the underlying beneficial holder of the ADSs directing the bank, </w:t>
      </w:r>
      <w:r>
        <w:rPr>
          <w:color w:val="231F20"/>
          <w:spacing w:val="-3"/>
          <w:w w:val="105"/>
        </w:rPr>
        <w:t>broker </w:t>
      </w:r>
      <w:r>
        <w:rPr>
          <w:color w:val="231F20"/>
          <w:w w:val="105"/>
        </w:rPr>
        <w:t>or other nominee to arrange </w:t>
      </w:r>
      <w:r>
        <w:rPr>
          <w:color w:val="231F20"/>
          <w:spacing w:val="-3"/>
          <w:w w:val="105"/>
        </w:rPr>
        <w:t>for </w:t>
      </w:r>
      <w:r>
        <w:rPr>
          <w:color w:val="231F20"/>
          <w:w w:val="105"/>
        </w:rPr>
        <w:t>The Bank of New </w:t>
      </w:r>
      <w:r>
        <w:rPr>
          <w:color w:val="231F20"/>
          <w:spacing w:val="-8"/>
          <w:w w:val="105"/>
        </w:rPr>
        <w:t>York </w:t>
      </w:r>
      <w:r>
        <w:rPr>
          <w:color w:val="231F20"/>
          <w:w w:val="105"/>
        </w:rPr>
        <w:t>Mellon to  vote the ordinary shares represented by the ADSs in accordance with the beneficial </w:t>
      </w:r>
      <w:r>
        <w:rPr>
          <w:color w:val="231F20"/>
          <w:spacing w:val="-3"/>
          <w:w w:val="105"/>
        </w:rPr>
        <w:t>holder’s </w:t>
      </w:r>
      <w:r>
        <w:rPr>
          <w:color w:val="231F20"/>
          <w:w w:val="105"/>
        </w:rPr>
        <w:t>voting instructions. If no instructions are received by BNY Mellon from an ADS holder (whether held directly by a beneficial holder or in “street name”) with respect to </w:t>
      </w:r>
      <w:r>
        <w:rPr>
          <w:color w:val="231F20"/>
          <w:spacing w:val="-3"/>
          <w:w w:val="105"/>
        </w:rPr>
        <w:t>any </w:t>
      </w:r>
      <w:r>
        <w:rPr>
          <w:color w:val="231F20"/>
          <w:w w:val="105"/>
        </w:rPr>
        <w:t>of the ordinary shares represented</w:t>
      </w:r>
      <w:r>
        <w:rPr>
          <w:color w:val="231F20"/>
          <w:spacing w:val="15"/>
          <w:w w:val="105"/>
        </w:rPr>
        <w:t> </w:t>
      </w:r>
      <w:r>
        <w:rPr>
          <w:color w:val="231F20"/>
          <w:w w:val="105"/>
        </w:rPr>
        <w:t>by</w:t>
      </w:r>
    </w:p>
    <w:p>
      <w:pPr>
        <w:pStyle w:val="BodyText"/>
        <w:spacing w:line="244" w:lineRule="auto" w:before="5"/>
        <w:ind w:left="1489" w:right="1293"/>
      </w:pPr>
      <w:r>
        <w:rPr>
          <w:color w:val="231F20"/>
          <w:w w:val="105"/>
        </w:rPr>
        <w:t>the ADSs on or before the date established by BNY Mellon for such purpose, BNY Mellon will not vote or attempt to vote the shares represented by such ADSs.</w:t>
      </w:r>
    </w:p>
    <w:p>
      <w:pPr>
        <w:pStyle w:val="BodyText"/>
        <w:spacing w:line="244" w:lineRule="auto" w:before="148"/>
        <w:ind w:left="1489" w:right="1456"/>
      </w:pPr>
      <w:r>
        <w:rPr>
          <w:color w:val="231F20"/>
          <w:w w:val="105"/>
        </w:rPr>
        <w:t>If you hold ordinary shares, when you submit a Ballot, your shares will be voted at the Meeting as you have instructed. If you submit a proxy, you appoint Amir Hai (our Chief Financial Officer), or such other person designed by you, as your representative at the Meeting and your shares will be voted in accordance with the sole and absolute discretion of your representative.</w:t>
      </w:r>
    </w:p>
    <w:p>
      <w:pPr>
        <w:pStyle w:val="Heading2"/>
        <w:spacing w:before="219"/>
      </w:pPr>
      <w:r>
        <w:rPr>
          <w:color w:val="231F20"/>
        </w:rPr>
        <w:t>Q: What does it mean if I receive more than one voting instruction form?</w:t>
      </w:r>
    </w:p>
    <w:p>
      <w:pPr>
        <w:pStyle w:val="BodyText"/>
        <w:spacing w:line="244" w:lineRule="auto" w:before="169"/>
        <w:ind w:left="1489" w:right="1553" w:hanging="400"/>
      </w:pPr>
      <w:r>
        <w:rPr>
          <w:color w:val="231F20"/>
          <w:w w:val="110"/>
        </w:rPr>
        <w:t>A:</w:t>
      </w:r>
      <w:r>
        <w:rPr>
          <w:color w:val="231F20"/>
          <w:spacing w:val="42"/>
          <w:w w:val="110"/>
        </w:rPr>
        <w:t> </w:t>
      </w:r>
      <w:r>
        <w:rPr>
          <w:color w:val="231F20"/>
          <w:w w:val="110"/>
        </w:rPr>
        <w:t>It</w:t>
      </w:r>
      <w:r>
        <w:rPr>
          <w:color w:val="231F20"/>
          <w:spacing w:val="-16"/>
          <w:w w:val="110"/>
        </w:rPr>
        <w:t> </w:t>
      </w:r>
      <w:r>
        <w:rPr>
          <w:color w:val="231F20"/>
          <w:w w:val="110"/>
        </w:rPr>
        <w:t>means</w:t>
      </w:r>
      <w:r>
        <w:rPr>
          <w:color w:val="231F20"/>
          <w:spacing w:val="-16"/>
          <w:w w:val="110"/>
        </w:rPr>
        <w:t> </w:t>
      </w:r>
      <w:r>
        <w:rPr>
          <w:color w:val="231F20"/>
          <w:w w:val="110"/>
        </w:rPr>
        <w:t>that</w:t>
      </w:r>
      <w:r>
        <w:rPr>
          <w:color w:val="231F20"/>
          <w:spacing w:val="-16"/>
          <w:w w:val="110"/>
        </w:rPr>
        <w:t> </w:t>
      </w:r>
      <w:r>
        <w:rPr>
          <w:color w:val="231F20"/>
          <w:spacing w:val="-3"/>
          <w:w w:val="110"/>
        </w:rPr>
        <w:t>you</w:t>
      </w:r>
      <w:r>
        <w:rPr>
          <w:color w:val="231F20"/>
          <w:spacing w:val="-16"/>
          <w:w w:val="110"/>
        </w:rPr>
        <w:t> </w:t>
      </w:r>
      <w:r>
        <w:rPr>
          <w:color w:val="231F20"/>
          <w:spacing w:val="-5"/>
          <w:w w:val="110"/>
        </w:rPr>
        <w:t>have</w:t>
      </w:r>
      <w:r>
        <w:rPr>
          <w:color w:val="231F20"/>
          <w:spacing w:val="-16"/>
          <w:w w:val="110"/>
        </w:rPr>
        <w:t> </w:t>
      </w:r>
      <w:r>
        <w:rPr>
          <w:color w:val="231F20"/>
          <w:w w:val="110"/>
        </w:rPr>
        <w:t>multiple</w:t>
      </w:r>
      <w:r>
        <w:rPr>
          <w:color w:val="231F20"/>
          <w:spacing w:val="-16"/>
          <w:w w:val="110"/>
        </w:rPr>
        <w:t> </w:t>
      </w:r>
      <w:r>
        <w:rPr>
          <w:color w:val="231F20"/>
          <w:w w:val="110"/>
        </w:rPr>
        <w:t>accounts</w:t>
      </w:r>
      <w:r>
        <w:rPr>
          <w:color w:val="231F20"/>
          <w:spacing w:val="-16"/>
          <w:w w:val="110"/>
        </w:rPr>
        <w:t> </w:t>
      </w:r>
      <w:r>
        <w:rPr>
          <w:color w:val="231F20"/>
          <w:spacing w:val="-3"/>
          <w:w w:val="110"/>
        </w:rPr>
        <w:t>at</w:t>
      </w:r>
      <w:r>
        <w:rPr>
          <w:color w:val="231F20"/>
          <w:spacing w:val="-16"/>
          <w:w w:val="110"/>
        </w:rPr>
        <w:t> </w:t>
      </w:r>
      <w:r>
        <w:rPr>
          <w:color w:val="231F20"/>
          <w:w w:val="110"/>
        </w:rPr>
        <w:t>the</w:t>
      </w:r>
      <w:r>
        <w:rPr>
          <w:color w:val="231F20"/>
          <w:spacing w:val="-16"/>
          <w:w w:val="110"/>
        </w:rPr>
        <w:t> </w:t>
      </w:r>
      <w:r>
        <w:rPr>
          <w:color w:val="231F20"/>
          <w:w w:val="110"/>
        </w:rPr>
        <w:t>transfer</w:t>
      </w:r>
      <w:r>
        <w:rPr>
          <w:color w:val="231F20"/>
          <w:spacing w:val="-16"/>
          <w:w w:val="110"/>
        </w:rPr>
        <w:t> </w:t>
      </w:r>
      <w:r>
        <w:rPr>
          <w:color w:val="231F20"/>
          <w:w w:val="110"/>
        </w:rPr>
        <w:t>agent</w:t>
      </w:r>
      <w:r>
        <w:rPr>
          <w:color w:val="231F20"/>
          <w:spacing w:val="-16"/>
          <w:w w:val="110"/>
        </w:rPr>
        <w:t> </w:t>
      </w:r>
      <w:r>
        <w:rPr>
          <w:color w:val="231F20"/>
          <w:w w:val="110"/>
        </w:rPr>
        <w:t>or</w:t>
      </w:r>
      <w:r>
        <w:rPr>
          <w:color w:val="231F20"/>
          <w:spacing w:val="-16"/>
          <w:w w:val="110"/>
        </w:rPr>
        <w:t> </w:t>
      </w:r>
      <w:r>
        <w:rPr>
          <w:color w:val="231F20"/>
          <w:w w:val="110"/>
        </w:rPr>
        <w:t>with</w:t>
      </w:r>
      <w:r>
        <w:rPr>
          <w:color w:val="231F20"/>
          <w:spacing w:val="-15"/>
          <w:w w:val="110"/>
        </w:rPr>
        <w:t> </w:t>
      </w:r>
      <w:r>
        <w:rPr>
          <w:color w:val="231F20"/>
          <w:spacing w:val="-4"/>
          <w:w w:val="110"/>
        </w:rPr>
        <w:t>brokers.</w:t>
      </w:r>
      <w:r>
        <w:rPr>
          <w:color w:val="231F20"/>
          <w:spacing w:val="-16"/>
          <w:w w:val="110"/>
        </w:rPr>
        <w:t> </w:t>
      </w:r>
      <w:r>
        <w:rPr>
          <w:color w:val="231F20"/>
          <w:w w:val="110"/>
        </w:rPr>
        <w:t>Please</w:t>
      </w:r>
      <w:r>
        <w:rPr>
          <w:color w:val="231F20"/>
          <w:spacing w:val="-16"/>
          <w:w w:val="110"/>
        </w:rPr>
        <w:t> </w:t>
      </w:r>
      <w:r>
        <w:rPr>
          <w:color w:val="231F20"/>
          <w:w w:val="110"/>
        </w:rPr>
        <w:t>sign</w:t>
      </w:r>
      <w:r>
        <w:rPr>
          <w:color w:val="231F20"/>
          <w:spacing w:val="-16"/>
          <w:w w:val="110"/>
        </w:rPr>
        <w:t> </w:t>
      </w:r>
      <w:r>
        <w:rPr>
          <w:color w:val="231F20"/>
          <w:w w:val="110"/>
        </w:rPr>
        <w:t>and</w:t>
      </w:r>
      <w:r>
        <w:rPr>
          <w:color w:val="231F20"/>
          <w:spacing w:val="-16"/>
          <w:w w:val="110"/>
        </w:rPr>
        <w:t> </w:t>
      </w:r>
      <w:r>
        <w:rPr>
          <w:color w:val="231F20"/>
          <w:w w:val="110"/>
        </w:rPr>
        <w:t>return </w:t>
      </w:r>
      <w:r>
        <w:rPr>
          <w:color w:val="231F20"/>
          <w:spacing w:val="-3"/>
          <w:w w:val="110"/>
        </w:rPr>
        <w:t>all</w:t>
      </w:r>
      <w:r>
        <w:rPr>
          <w:color w:val="231F20"/>
          <w:spacing w:val="-9"/>
          <w:w w:val="110"/>
        </w:rPr>
        <w:t> </w:t>
      </w:r>
      <w:r>
        <w:rPr>
          <w:color w:val="231F20"/>
          <w:w w:val="110"/>
        </w:rPr>
        <w:t>voting</w:t>
      </w:r>
      <w:r>
        <w:rPr>
          <w:color w:val="231F20"/>
          <w:spacing w:val="-9"/>
          <w:w w:val="110"/>
        </w:rPr>
        <w:t> </w:t>
      </w:r>
      <w:r>
        <w:rPr>
          <w:color w:val="231F20"/>
          <w:w w:val="110"/>
        </w:rPr>
        <w:t>instruction</w:t>
      </w:r>
      <w:r>
        <w:rPr>
          <w:color w:val="231F20"/>
          <w:spacing w:val="-8"/>
          <w:w w:val="110"/>
        </w:rPr>
        <w:t> </w:t>
      </w:r>
      <w:r>
        <w:rPr>
          <w:color w:val="231F20"/>
          <w:w w:val="110"/>
        </w:rPr>
        <w:t>form</w:t>
      </w:r>
      <w:r>
        <w:rPr>
          <w:color w:val="231F20"/>
          <w:spacing w:val="-9"/>
          <w:w w:val="110"/>
        </w:rPr>
        <w:t> </w:t>
      </w:r>
      <w:r>
        <w:rPr>
          <w:color w:val="231F20"/>
          <w:w w:val="110"/>
        </w:rPr>
        <w:t>to</w:t>
      </w:r>
      <w:r>
        <w:rPr>
          <w:color w:val="231F20"/>
          <w:spacing w:val="-8"/>
          <w:w w:val="110"/>
        </w:rPr>
        <w:t> </w:t>
      </w:r>
      <w:r>
        <w:rPr>
          <w:color w:val="231F20"/>
          <w:w w:val="110"/>
        </w:rPr>
        <w:t>ensure</w:t>
      </w:r>
      <w:r>
        <w:rPr>
          <w:color w:val="231F20"/>
          <w:spacing w:val="-9"/>
          <w:w w:val="110"/>
        </w:rPr>
        <w:t> </w:t>
      </w:r>
      <w:r>
        <w:rPr>
          <w:color w:val="231F20"/>
          <w:w w:val="110"/>
        </w:rPr>
        <w:t>that</w:t>
      </w:r>
      <w:r>
        <w:rPr>
          <w:color w:val="231F20"/>
          <w:spacing w:val="-9"/>
          <w:w w:val="110"/>
        </w:rPr>
        <w:t> </w:t>
      </w:r>
      <w:r>
        <w:rPr>
          <w:color w:val="231F20"/>
          <w:spacing w:val="-3"/>
          <w:w w:val="110"/>
        </w:rPr>
        <w:t>all</w:t>
      </w:r>
      <w:r>
        <w:rPr>
          <w:color w:val="231F20"/>
          <w:spacing w:val="-8"/>
          <w:w w:val="110"/>
        </w:rPr>
        <w:t> </w:t>
      </w:r>
      <w:r>
        <w:rPr>
          <w:color w:val="231F20"/>
          <w:w w:val="110"/>
        </w:rPr>
        <w:t>of</w:t>
      </w:r>
      <w:r>
        <w:rPr>
          <w:color w:val="231F20"/>
          <w:spacing w:val="9"/>
          <w:w w:val="110"/>
        </w:rPr>
        <w:t> </w:t>
      </w:r>
      <w:r>
        <w:rPr>
          <w:color w:val="231F20"/>
          <w:w w:val="110"/>
        </w:rPr>
        <w:t>your</w:t>
      </w:r>
      <w:r>
        <w:rPr>
          <w:color w:val="231F20"/>
          <w:spacing w:val="-9"/>
          <w:w w:val="110"/>
        </w:rPr>
        <w:t> </w:t>
      </w:r>
      <w:r>
        <w:rPr>
          <w:color w:val="231F20"/>
          <w:w w:val="110"/>
        </w:rPr>
        <w:t>shares</w:t>
      </w:r>
      <w:r>
        <w:rPr>
          <w:color w:val="231F20"/>
          <w:spacing w:val="-8"/>
          <w:w w:val="110"/>
        </w:rPr>
        <w:t> </w:t>
      </w:r>
      <w:r>
        <w:rPr>
          <w:color w:val="231F20"/>
          <w:w w:val="110"/>
        </w:rPr>
        <w:t>are</w:t>
      </w:r>
      <w:r>
        <w:rPr>
          <w:color w:val="231F20"/>
          <w:spacing w:val="-9"/>
          <w:w w:val="110"/>
        </w:rPr>
        <w:t> </w:t>
      </w:r>
      <w:r>
        <w:rPr>
          <w:color w:val="231F20"/>
          <w:w w:val="110"/>
        </w:rPr>
        <w:t>voted.</w:t>
      </w:r>
    </w:p>
    <w:p>
      <w:pPr>
        <w:pStyle w:val="Heading2"/>
        <w:spacing w:line="244" w:lineRule="auto" w:before="218"/>
        <w:ind w:left="3776" w:right="4073"/>
        <w:jc w:val="center"/>
      </w:pPr>
      <w:r>
        <w:rPr>
          <w:color w:val="231F20"/>
        </w:rPr>
        <w:t>ABOUT THE VOTING PROCEDURE AT THE ANNUAL GENERAL MEETING</w:t>
      </w:r>
    </w:p>
    <w:p>
      <w:pPr>
        <w:pStyle w:val="BodyText"/>
        <w:spacing w:before="3"/>
        <w:rPr>
          <w:b/>
          <w:sz w:val="12"/>
        </w:rPr>
      </w:pPr>
    </w:p>
    <w:p>
      <w:pPr>
        <w:spacing w:before="104"/>
        <w:ind w:left="1090" w:right="0" w:firstLine="0"/>
        <w:jc w:val="left"/>
        <w:rPr>
          <w:b/>
          <w:sz w:val="20"/>
        </w:rPr>
      </w:pPr>
      <w:r>
        <w:rPr>
          <w:b/>
          <w:color w:val="231F20"/>
          <w:sz w:val="20"/>
        </w:rPr>
        <w:t>Q: What constitutes a quorum?</w:t>
      </w:r>
    </w:p>
    <w:p>
      <w:pPr>
        <w:pStyle w:val="BodyText"/>
        <w:spacing w:line="244" w:lineRule="auto" w:before="169"/>
        <w:ind w:left="1489" w:right="1322" w:hanging="400"/>
      </w:pPr>
      <w:r>
        <w:rPr>
          <w:color w:val="231F20"/>
          <w:w w:val="105"/>
        </w:rPr>
        <w:t>A: To conduct business at the Meeting, two or more shareholders must be present, in person or by proxy, </w:t>
      </w:r>
      <w:r>
        <w:rPr>
          <w:color w:val="231F20"/>
          <w:w w:val="106"/>
        </w:rPr>
        <w:t>holding</w:t>
      </w:r>
      <w:r>
        <w:rPr>
          <w:color w:val="231F20"/>
        </w:rPr>
        <w:t> </w:t>
      </w:r>
      <w:r>
        <w:rPr>
          <w:color w:val="231F20"/>
          <w:w w:val="109"/>
        </w:rPr>
        <w:t>shar</w:t>
      </w:r>
      <w:r>
        <w:rPr>
          <w:color w:val="231F20"/>
          <w:w w:val="98"/>
        </w:rPr>
        <w:t>es</w:t>
      </w:r>
      <w:r>
        <w:rPr>
          <w:color w:val="231F20"/>
        </w:rPr>
        <w:t> </w:t>
      </w:r>
      <w:r>
        <w:rPr>
          <w:color w:val="231F20"/>
          <w:w w:val="105"/>
        </w:rPr>
        <w:t>conferring</w:t>
      </w:r>
      <w:r>
        <w:rPr>
          <w:color w:val="231F20"/>
        </w:rPr>
        <w:t> </w:t>
      </w:r>
      <w:r>
        <w:rPr>
          <w:color w:val="231F20"/>
          <w:w w:val="105"/>
        </w:rPr>
        <w:t>in</w:t>
      </w:r>
      <w:r>
        <w:rPr>
          <w:color w:val="231F20"/>
        </w:rPr>
        <w:t> </w:t>
      </w:r>
      <w:r>
        <w:rPr>
          <w:color w:val="231F20"/>
          <w:w w:val="108"/>
        </w:rPr>
        <w:t>the</w:t>
      </w:r>
      <w:r>
        <w:rPr>
          <w:color w:val="231F20"/>
        </w:rPr>
        <w:t> </w:t>
      </w:r>
      <w:r>
        <w:rPr>
          <w:color w:val="231F20"/>
          <w:w w:val="112"/>
        </w:rPr>
        <w:t>a</w:t>
      </w:r>
      <w:r>
        <w:rPr>
          <w:color w:val="231F20"/>
          <w:w w:val="103"/>
        </w:rPr>
        <w:t>ggr</w:t>
      </w:r>
      <w:r>
        <w:rPr>
          <w:color w:val="231F20"/>
          <w:w w:val="103"/>
        </w:rPr>
        <w:t>ega</w:t>
      </w:r>
      <w:r>
        <w:rPr>
          <w:color w:val="231F20"/>
          <w:w w:val="106"/>
        </w:rPr>
        <w:t>te</w:t>
      </w:r>
      <w:r>
        <w:rPr>
          <w:color w:val="231F20"/>
        </w:rPr>
        <w:t> </w:t>
      </w:r>
      <w:r>
        <w:rPr>
          <w:color w:val="231F20"/>
          <w:w w:val="112"/>
        </w:rPr>
        <w:t>a</w:t>
      </w:r>
      <w:r>
        <w:rPr>
          <w:color w:val="231F20"/>
          <w:w w:val="119"/>
        </w:rPr>
        <w:t>t</w:t>
      </w:r>
      <w:r>
        <w:rPr>
          <w:color w:val="231F20"/>
        </w:rPr>
        <w:t> </w:t>
      </w:r>
      <w:r>
        <w:rPr>
          <w:color w:val="231F20"/>
          <w:w w:val="104"/>
        </w:rPr>
        <w:t>least</w:t>
      </w:r>
      <w:r>
        <w:rPr>
          <w:color w:val="231F20"/>
        </w:rPr>
        <w:t> </w:t>
      </w:r>
      <w:r>
        <w:rPr>
          <w:color w:val="231F20"/>
          <w:w w:val="109"/>
        </w:rPr>
        <w:t>thirty-thr</w:t>
      </w:r>
      <w:r>
        <w:rPr>
          <w:color w:val="231F20"/>
          <w:w w:val="98"/>
        </w:rPr>
        <w:t>ee</w:t>
      </w:r>
      <w:r>
        <w:rPr>
          <w:color w:val="231F20"/>
        </w:rPr>
        <w:t> </w:t>
      </w:r>
      <w:r>
        <w:rPr>
          <w:color w:val="231F20"/>
          <w:w w:val="110"/>
        </w:rPr>
        <w:t>and</w:t>
      </w:r>
      <w:r>
        <w:rPr>
          <w:color w:val="231F20"/>
        </w:rPr>
        <w:t> </w:t>
      </w:r>
      <w:r>
        <w:rPr>
          <w:color w:val="231F20"/>
          <w:w w:val="107"/>
        </w:rPr>
        <w:t>one/thir</w:t>
      </w:r>
      <w:r>
        <w:rPr>
          <w:color w:val="231F20"/>
          <w:w w:val="110"/>
        </w:rPr>
        <w:t>d</w:t>
      </w:r>
      <w:r>
        <w:rPr>
          <w:color w:val="231F20"/>
        </w:rPr>
        <w:t> </w:t>
      </w:r>
      <w:r>
        <w:rPr>
          <w:color w:val="231F20"/>
          <w:w w:val="107"/>
        </w:rPr>
        <w:t>per</w:t>
      </w:r>
      <w:r>
        <w:rPr>
          <w:color w:val="231F20"/>
          <w:w w:val="105"/>
        </w:rPr>
        <w:t>cent</w:t>
      </w:r>
      <w:r>
        <w:rPr>
          <w:color w:val="231F20"/>
        </w:rPr>
        <w:t> </w:t>
      </w:r>
      <w:r>
        <w:rPr>
          <w:color w:val="231F20"/>
          <w:w w:val="99"/>
        </w:rPr>
        <w:t>(33-</w:t>
      </w:r>
      <w:r>
        <w:rPr>
          <w:color w:val="231F20"/>
          <w:w w:val="116"/>
          <w:position w:val="5"/>
          <w:sz w:val="12"/>
        </w:rPr>
        <w:t>1</w:t>
      </w:r>
      <w:r>
        <w:rPr>
          <w:color w:val="231F20"/>
          <w:w w:val="198"/>
        </w:rPr>
        <w:t>∕</w:t>
      </w:r>
      <w:r>
        <w:rPr>
          <w:color w:val="231F20"/>
          <w:w w:val="116"/>
          <w:sz w:val="12"/>
        </w:rPr>
        <w:t>3</w:t>
      </w:r>
      <w:r>
        <w:rPr>
          <w:color w:val="231F20"/>
          <w:w w:val="98"/>
        </w:rPr>
        <w:t>%)</w:t>
      </w:r>
      <w:r>
        <w:rPr>
          <w:color w:val="231F20"/>
        </w:rPr>
        <w:t> </w:t>
      </w:r>
      <w:r>
        <w:rPr>
          <w:color w:val="231F20"/>
          <w:w w:val="106"/>
        </w:rPr>
        <w:t>of</w:t>
      </w:r>
      <w:r>
        <w:rPr>
          <w:color w:val="231F20"/>
        </w:rPr>
        <w:t>  </w:t>
      </w:r>
      <w:r>
        <w:rPr>
          <w:color w:val="231F20"/>
          <w:w w:val="108"/>
        </w:rPr>
        <w:t>the </w:t>
      </w:r>
      <w:r>
        <w:rPr>
          <w:color w:val="231F20"/>
          <w:w w:val="105"/>
        </w:rPr>
        <w:t>voting power of the Company.</w:t>
      </w:r>
    </w:p>
    <w:p>
      <w:pPr>
        <w:pStyle w:val="BodyText"/>
        <w:spacing w:line="244" w:lineRule="auto" w:before="147"/>
        <w:ind w:left="1489" w:right="1387"/>
      </w:pPr>
      <w:r>
        <w:rPr>
          <w:color w:val="231F20"/>
          <w:w w:val="105"/>
        </w:rPr>
        <w:t>Ordinary shares represented in person or by </w:t>
      </w:r>
      <w:r>
        <w:rPr>
          <w:color w:val="231F20"/>
          <w:spacing w:val="-3"/>
          <w:w w:val="105"/>
        </w:rPr>
        <w:t>proxy </w:t>
      </w:r>
      <w:r>
        <w:rPr>
          <w:color w:val="231F20"/>
          <w:w w:val="105"/>
        </w:rPr>
        <w:t>(including ordinary shares held by The Bank of  New </w:t>
      </w:r>
      <w:r>
        <w:rPr>
          <w:color w:val="231F20"/>
          <w:spacing w:val="-8"/>
          <w:w w:val="105"/>
        </w:rPr>
        <w:t>York </w:t>
      </w:r>
      <w:r>
        <w:rPr>
          <w:color w:val="231F20"/>
          <w:w w:val="105"/>
        </w:rPr>
        <w:t>Mellon as the Depositary of the ADSs and voted in accordance with the instructions of holders of ADSs) will be counted </w:t>
      </w:r>
      <w:r>
        <w:rPr>
          <w:color w:val="231F20"/>
          <w:spacing w:val="-3"/>
          <w:w w:val="105"/>
        </w:rPr>
        <w:t>for </w:t>
      </w:r>
      <w:r>
        <w:rPr>
          <w:color w:val="231F20"/>
          <w:w w:val="105"/>
        </w:rPr>
        <w:t>purposes of determining whether a quorum </w:t>
      </w:r>
      <w:r>
        <w:rPr>
          <w:color w:val="231F20"/>
          <w:spacing w:val="-3"/>
          <w:w w:val="105"/>
        </w:rPr>
        <w:t>exists. </w:t>
      </w:r>
      <w:r>
        <w:rPr>
          <w:color w:val="231F20"/>
          <w:w w:val="105"/>
        </w:rPr>
        <w:t>A “broker non- vote” occurs when a bank, </w:t>
      </w:r>
      <w:r>
        <w:rPr>
          <w:color w:val="231F20"/>
          <w:spacing w:val="-3"/>
          <w:w w:val="105"/>
        </w:rPr>
        <w:t>broker </w:t>
      </w:r>
      <w:r>
        <w:rPr>
          <w:color w:val="231F20"/>
          <w:w w:val="105"/>
        </w:rPr>
        <w:t>or other holder of record holding shares </w:t>
      </w:r>
      <w:r>
        <w:rPr>
          <w:color w:val="231F20"/>
          <w:spacing w:val="-3"/>
          <w:w w:val="105"/>
        </w:rPr>
        <w:t>for </w:t>
      </w:r>
      <w:r>
        <w:rPr>
          <w:color w:val="231F20"/>
          <w:w w:val="105"/>
        </w:rPr>
        <w:t>a beneficial</w:t>
      </w:r>
      <w:r>
        <w:rPr>
          <w:color w:val="231F20"/>
          <w:spacing w:val="-35"/>
          <w:w w:val="105"/>
        </w:rPr>
        <w:t> </w:t>
      </w:r>
      <w:r>
        <w:rPr>
          <w:color w:val="231F20"/>
          <w:w w:val="105"/>
        </w:rPr>
        <w:t>owner</w:t>
      </w:r>
    </w:p>
    <w:p>
      <w:pPr>
        <w:spacing w:after="0" w:line="244" w:lineRule="auto"/>
        <w:sectPr>
          <w:pgSz w:w="11880" w:h="15480"/>
          <w:pgMar w:header="0" w:footer="664" w:top="940" w:bottom="860" w:left="300" w:right="0"/>
        </w:sectPr>
      </w:pPr>
    </w:p>
    <w:p>
      <w:pPr>
        <w:pStyle w:val="BodyText"/>
        <w:spacing w:line="249" w:lineRule="auto" w:before="87"/>
        <w:ind w:left="1489" w:right="1472"/>
      </w:pPr>
      <w:r>
        <w:rPr>
          <w:color w:val="231F20"/>
          <w:w w:val="105"/>
        </w:rPr>
        <w:t>submits a voting instruction form but does not vote on a particular proposal because that holder does not have discretionary voting power for that particular item and has not received instructions from the beneficial owner. Abstentions and broker non-votes will be counted as present in determining if a quorum is present.</w:t>
      </w:r>
    </w:p>
    <w:p>
      <w:pPr>
        <w:pStyle w:val="BodyText"/>
        <w:spacing w:before="11"/>
      </w:pPr>
    </w:p>
    <w:p>
      <w:pPr>
        <w:pStyle w:val="Heading2"/>
      </w:pPr>
      <w:r>
        <w:rPr>
          <w:color w:val="231F20"/>
        </w:rPr>
        <w:t>Q: What happens if a quorum is not present?</w:t>
      </w:r>
    </w:p>
    <w:p>
      <w:pPr>
        <w:pStyle w:val="BodyText"/>
        <w:spacing w:line="249" w:lineRule="auto" w:before="169"/>
        <w:ind w:left="1489" w:right="1553" w:hanging="400"/>
      </w:pPr>
      <w:r>
        <w:rPr>
          <w:color w:val="231F20"/>
          <w:w w:val="105"/>
        </w:rPr>
        <w:t>A: If a quorum is not present within </w:t>
      </w:r>
      <w:r>
        <w:rPr>
          <w:color w:val="231F20"/>
          <w:spacing w:val="-3"/>
          <w:w w:val="105"/>
        </w:rPr>
        <w:t>half  </w:t>
      </w:r>
      <w:r>
        <w:rPr>
          <w:color w:val="231F20"/>
          <w:w w:val="105"/>
        </w:rPr>
        <w:t>an hour from the time appointed </w:t>
      </w:r>
      <w:r>
        <w:rPr>
          <w:color w:val="231F20"/>
          <w:spacing w:val="-3"/>
          <w:w w:val="105"/>
        </w:rPr>
        <w:t>for </w:t>
      </w:r>
      <w:r>
        <w:rPr>
          <w:color w:val="231F20"/>
          <w:w w:val="105"/>
        </w:rPr>
        <w:t>the meeting, the Meeting will be adjourned to 5:30 </w:t>
      </w:r>
      <w:r>
        <w:rPr>
          <w:color w:val="231F20"/>
          <w:spacing w:val="-4"/>
          <w:w w:val="105"/>
        </w:rPr>
        <w:t>p.m. </w:t>
      </w:r>
      <w:r>
        <w:rPr>
          <w:color w:val="231F20"/>
          <w:w w:val="105"/>
        </w:rPr>
        <w:t>Israel time on the same </w:t>
      </w:r>
      <w:r>
        <w:rPr>
          <w:color w:val="231F20"/>
          <w:spacing w:val="-7"/>
          <w:w w:val="105"/>
        </w:rPr>
        <w:t>day, </w:t>
      </w:r>
      <w:r>
        <w:rPr>
          <w:color w:val="231F20"/>
          <w:spacing w:val="-3"/>
          <w:w w:val="105"/>
        </w:rPr>
        <w:t>at </w:t>
      </w:r>
      <w:r>
        <w:rPr>
          <w:color w:val="231F20"/>
          <w:w w:val="105"/>
        </w:rPr>
        <w:t>the same place, and </w:t>
      </w:r>
      <w:r>
        <w:rPr>
          <w:color w:val="231F20"/>
          <w:spacing w:val="-3"/>
          <w:w w:val="105"/>
        </w:rPr>
        <w:t>at </w:t>
      </w:r>
      <w:r>
        <w:rPr>
          <w:color w:val="231F20"/>
          <w:w w:val="105"/>
        </w:rPr>
        <w:t>such adjourned meeting </w:t>
      </w:r>
      <w:r>
        <w:rPr>
          <w:color w:val="231F20"/>
          <w:spacing w:val="-3"/>
          <w:w w:val="105"/>
        </w:rPr>
        <w:t>any two </w:t>
      </w:r>
      <w:r>
        <w:rPr>
          <w:color w:val="231F20"/>
          <w:w w:val="105"/>
        </w:rPr>
        <w:t>shareholders will constitute a</w:t>
      </w:r>
      <w:r>
        <w:rPr>
          <w:color w:val="231F20"/>
          <w:spacing w:val="-15"/>
          <w:w w:val="105"/>
        </w:rPr>
        <w:t> </w:t>
      </w:r>
      <w:r>
        <w:rPr>
          <w:color w:val="231F20"/>
          <w:w w:val="105"/>
        </w:rPr>
        <w:t>quorum.</w:t>
      </w:r>
    </w:p>
    <w:p>
      <w:pPr>
        <w:pStyle w:val="BodyText"/>
        <w:spacing w:before="10"/>
      </w:pPr>
    </w:p>
    <w:p>
      <w:pPr>
        <w:pStyle w:val="Heading2"/>
      </w:pPr>
      <w:r>
        <w:rPr>
          <w:color w:val="231F20"/>
        </w:rPr>
        <w:t>Q: How will votes be counted?</w:t>
      </w:r>
    </w:p>
    <w:p>
      <w:pPr>
        <w:pStyle w:val="BodyText"/>
        <w:spacing w:line="249" w:lineRule="auto" w:before="170"/>
        <w:ind w:left="1489" w:right="1386" w:hanging="400"/>
      </w:pPr>
      <w:r>
        <w:rPr>
          <w:color w:val="231F20"/>
          <w:w w:val="105"/>
        </w:rPr>
        <w:t>A:    Each outstanding ordinary share is entitled to one (1) </w:t>
      </w:r>
      <w:r>
        <w:rPr>
          <w:color w:val="231F20"/>
          <w:spacing w:val="-4"/>
          <w:w w:val="105"/>
        </w:rPr>
        <w:t>vote, </w:t>
      </w:r>
      <w:r>
        <w:rPr>
          <w:color w:val="231F20"/>
          <w:w w:val="105"/>
        </w:rPr>
        <w:t>and each outstanding ADS is entitled to  one</w:t>
      </w:r>
      <w:r>
        <w:rPr>
          <w:color w:val="231F20"/>
          <w:spacing w:val="-7"/>
          <w:w w:val="105"/>
        </w:rPr>
        <w:t> </w:t>
      </w:r>
      <w:r>
        <w:rPr>
          <w:color w:val="231F20"/>
          <w:w w:val="105"/>
        </w:rPr>
        <w:t>(1)</w:t>
      </w:r>
      <w:r>
        <w:rPr>
          <w:color w:val="231F20"/>
          <w:spacing w:val="-6"/>
          <w:w w:val="105"/>
        </w:rPr>
        <w:t> </w:t>
      </w:r>
      <w:r>
        <w:rPr>
          <w:color w:val="231F20"/>
          <w:w w:val="105"/>
        </w:rPr>
        <w:t>vote</w:t>
      </w:r>
      <w:r>
        <w:rPr>
          <w:color w:val="231F20"/>
          <w:spacing w:val="-7"/>
          <w:w w:val="105"/>
        </w:rPr>
        <w:t> </w:t>
      </w:r>
      <w:r>
        <w:rPr>
          <w:color w:val="231F20"/>
          <w:spacing w:val="-3"/>
          <w:w w:val="105"/>
        </w:rPr>
        <w:t>for</w:t>
      </w:r>
      <w:r>
        <w:rPr>
          <w:color w:val="231F20"/>
          <w:spacing w:val="-6"/>
          <w:w w:val="105"/>
        </w:rPr>
        <w:t> </w:t>
      </w:r>
      <w:r>
        <w:rPr>
          <w:color w:val="231F20"/>
          <w:w w:val="105"/>
        </w:rPr>
        <w:t>each</w:t>
      </w:r>
      <w:r>
        <w:rPr>
          <w:color w:val="231F20"/>
          <w:spacing w:val="-6"/>
          <w:w w:val="105"/>
        </w:rPr>
        <w:t> </w:t>
      </w:r>
      <w:r>
        <w:rPr>
          <w:color w:val="231F20"/>
          <w:w w:val="105"/>
        </w:rPr>
        <w:t>ordinary</w:t>
      </w:r>
      <w:r>
        <w:rPr>
          <w:color w:val="231F20"/>
          <w:spacing w:val="-7"/>
          <w:w w:val="105"/>
        </w:rPr>
        <w:t> </w:t>
      </w:r>
      <w:r>
        <w:rPr>
          <w:color w:val="231F20"/>
          <w:w w:val="105"/>
        </w:rPr>
        <w:t>share</w:t>
      </w:r>
      <w:r>
        <w:rPr>
          <w:color w:val="231F20"/>
          <w:spacing w:val="-6"/>
          <w:w w:val="105"/>
        </w:rPr>
        <w:t> </w:t>
      </w:r>
      <w:r>
        <w:rPr>
          <w:color w:val="231F20"/>
          <w:w w:val="105"/>
        </w:rPr>
        <w:t>represented</w:t>
      </w:r>
      <w:r>
        <w:rPr>
          <w:color w:val="231F20"/>
          <w:spacing w:val="-7"/>
          <w:w w:val="105"/>
        </w:rPr>
        <w:t> </w:t>
      </w:r>
      <w:r>
        <w:rPr>
          <w:color w:val="231F20"/>
          <w:spacing w:val="-5"/>
          <w:w w:val="105"/>
        </w:rPr>
        <w:t>thereby.</w:t>
      </w:r>
      <w:r>
        <w:rPr>
          <w:color w:val="231F20"/>
          <w:spacing w:val="-6"/>
          <w:w w:val="105"/>
        </w:rPr>
        <w:t> </w:t>
      </w:r>
      <w:r>
        <w:rPr>
          <w:color w:val="231F20"/>
          <w:w w:val="105"/>
        </w:rPr>
        <w:t>The</w:t>
      </w:r>
      <w:r>
        <w:rPr>
          <w:color w:val="231F20"/>
          <w:spacing w:val="-6"/>
          <w:w w:val="105"/>
        </w:rPr>
        <w:t> </w:t>
      </w:r>
      <w:r>
        <w:rPr>
          <w:color w:val="231F20"/>
          <w:spacing w:val="-3"/>
          <w:w w:val="105"/>
        </w:rPr>
        <w:t>Company’s</w:t>
      </w:r>
      <w:r>
        <w:rPr>
          <w:color w:val="231F20"/>
          <w:spacing w:val="-7"/>
          <w:w w:val="105"/>
        </w:rPr>
        <w:t> </w:t>
      </w:r>
      <w:r>
        <w:rPr>
          <w:color w:val="231F20"/>
          <w:w w:val="105"/>
        </w:rPr>
        <w:t>Amended</w:t>
      </w:r>
      <w:r>
        <w:rPr>
          <w:color w:val="231F20"/>
          <w:spacing w:val="-6"/>
          <w:w w:val="105"/>
        </w:rPr>
        <w:t> </w:t>
      </w:r>
      <w:r>
        <w:rPr>
          <w:color w:val="231F20"/>
          <w:w w:val="105"/>
        </w:rPr>
        <w:t>and</w:t>
      </w:r>
      <w:r>
        <w:rPr>
          <w:color w:val="231F20"/>
          <w:spacing w:val="-6"/>
          <w:w w:val="105"/>
        </w:rPr>
        <w:t> </w:t>
      </w:r>
      <w:r>
        <w:rPr>
          <w:color w:val="231F20"/>
          <w:spacing w:val="-3"/>
          <w:w w:val="105"/>
        </w:rPr>
        <w:t>Restated</w:t>
      </w:r>
      <w:r>
        <w:rPr>
          <w:color w:val="231F20"/>
          <w:spacing w:val="-7"/>
          <w:w w:val="105"/>
        </w:rPr>
        <w:t> </w:t>
      </w:r>
      <w:r>
        <w:rPr>
          <w:color w:val="231F20"/>
          <w:w w:val="105"/>
        </w:rPr>
        <w:t>Articles of Association do not provide </w:t>
      </w:r>
      <w:r>
        <w:rPr>
          <w:color w:val="231F20"/>
          <w:spacing w:val="-3"/>
          <w:w w:val="105"/>
        </w:rPr>
        <w:t>for </w:t>
      </w:r>
      <w:r>
        <w:rPr>
          <w:color w:val="231F20"/>
          <w:w w:val="105"/>
        </w:rPr>
        <w:t>cumulative voting. On </w:t>
      </w:r>
      <w:r>
        <w:rPr>
          <w:color w:val="231F20"/>
          <w:spacing w:val="-3"/>
          <w:w w:val="105"/>
        </w:rPr>
        <w:t>all </w:t>
      </w:r>
      <w:r>
        <w:rPr>
          <w:color w:val="231F20"/>
          <w:w w:val="105"/>
        </w:rPr>
        <w:t>matters considered </w:t>
      </w:r>
      <w:r>
        <w:rPr>
          <w:color w:val="231F20"/>
          <w:spacing w:val="-3"/>
          <w:w w:val="105"/>
        </w:rPr>
        <w:t>at </w:t>
      </w:r>
      <w:r>
        <w:rPr>
          <w:color w:val="231F20"/>
          <w:w w:val="105"/>
        </w:rPr>
        <w:t>the Meeting, abstentions and </w:t>
      </w:r>
      <w:r>
        <w:rPr>
          <w:color w:val="231F20"/>
          <w:spacing w:val="-3"/>
          <w:w w:val="105"/>
        </w:rPr>
        <w:t>broker </w:t>
      </w:r>
      <w:r>
        <w:rPr>
          <w:color w:val="231F20"/>
          <w:w w:val="105"/>
        </w:rPr>
        <w:t>non-votes will not be treated as either a vote “FOR” or </w:t>
      </w:r>
      <w:r>
        <w:rPr>
          <w:color w:val="231F20"/>
          <w:spacing w:val="-4"/>
          <w:w w:val="105"/>
        </w:rPr>
        <w:t>“AGAINST” </w:t>
      </w:r>
      <w:r>
        <w:rPr>
          <w:color w:val="231F20"/>
          <w:w w:val="105"/>
        </w:rPr>
        <w:t>the    </w:t>
      </w:r>
      <w:r>
        <w:rPr>
          <w:color w:val="231F20"/>
          <w:spacing w:val="-3"/>
          <w:w w:val="105"/>
        </w:rPr>
        <w:t>matter.</w:t>
      </w:r>
    </w:p>
    <w:p>
      <w:pPr>
        <w:pStyle w:val="BodyText"/>
        <w:spacing w:before="10"/>
      </w:pPr>
    </w:p>
    <w:p>
      <w:pPr>
        <w:pStyle w:val="Heading2"/>
        <w:spacing w:before="1"/>
      </w:pPr>
      <w:r>
        <w:rPr>
          <w:color w:val="231F20"/>
        </w:rPr>
        <w:t>Q: What are the requirements for approval of each of the proposals?</w:t>
      </w:r>
    </w:p>
    <w:p>
      <w:pPr>
        <w:pStyle w:val="BodyText"/>
        <w:spacing w:line="249" w:lineRule="auto" w:before="169"/>
        <w:ind w:left="1489" w:right="1388" w:hanging="400"/>
      </w:pPr>
      <w:r>
        <w:rPr>
          <w:color w:val="231F20"/>
          <w:w w:val="105"/>
        </w:rPr>
        <w:t>A: Each of the proposed resolutions requires the affirmative vote of a simple majority of  our ordinary shares cast in person or by </w:t>
      </w:r>
      <w:r>
        <w:rPr>
          <w:color w:val="231F20"/>
          <w:spacing w:val="-3"/>
          <w:w w:val="105"/>
        </w:rPr>
        <w:t>proxy at </w:t>
      </w:r>
      <w:r>
        <w:rPr>
          <w:color w:val="231F20"/>
          <w:w w:val="105"/>
        </w:rPr>
        <w:t>the Meeting on the proposal (an “Ordinary Majority”). In </w:t>
      </w:r>
      <w:r>
        <w:rPr>
          <w:color w:val="231F20"/>
          <w:spacing w:val="-3"/>
          <w:w w:val="105"/>
        </w:rPr>
        <w:t>addition, </w:t>
      </w:r>
      <w:r>
        <w:rPr>
          <w:color w:val="231F20"/>
          <w:w w:val="105"/>
        </w:rPr>
        <w:t>under Israeli </w:t>
      </w:r>
      <w:r>
        <w:rPr>
          <w:color w:val="231F20"/>
          <w:spacing w:val="-5"/>
          <w:w w:val="105"/>
        </w:rPr>
        <w:t>law </w:t>
      </w:r>
      <w:r>
        <w:rPr>
          <w:color w:val="231F20"/>
          <w:w w:val="105"/>
        </w:rPr>
        <w:t>Proposal 5 requires, in addition to an Ordinary Majority, that either (1) a simple majority of shares voted </w:t>
      </w:r>
      <w:r>
        <w:rPr>
          <w:color w:val="231F20"/>
          <w:spacing w:val="-3"/>
          <w:w w:val="105"/>
        </w:rPr>
        <w:t>at </w:t>
      </w:r>
      <w:r>
        <w:rPr>
          <w:color w:val="231F20"/>
          <w:w w:val="105"/>
        </w:rPr>
        <w:t>the Meeting, </w:t>
      </w:r>
      <w:r>
        <w:rPr>
          <w:i/>
          <w:color w:val="231F20"/>
          <w:w w:val="105"/>
        </w:rPr>
        <w:t>excluding </w:t>
      </w:r>
      <w:r>
        <w:rPr>
          <w:color w:val="231F20"/>
          <w:w w:val="105"/>
        </w:rPr>
        <w:t>the shares of controlling shareholders and of shareholders who </w:t>
      </w:r>
      <w:r>
        <w:rPr>
          <w:color w:val="231F20"/>
          <w:spacing w:val="-5"/>
          <w:w w:val="105"/>
        </w:rPr>
        <w:t>have </w:t>
      </w:r>
      <w:r>
        <w:rPr>
          <w:color w:val="231F20"/>
          <w:w w:val="105"/>
        </w:rPr>
        <w:t>a personal interest in the </w:t>
      </w:r>
      <w:r>
        <w:rPr>
          <w:color w:val="231F20"/>
          <w:spacing w:val="-4"/>
          <w:w w:val="105"/>
        </w:rPr>
        <w:t>approval </w:t>
      </w:r>
      <w:r>
        <w:rPr>
          <w:color w:val="231F20"/>
          <w:w w:val="105"/>
        </w:rPr>
        <w:t>of the resolution, be voted “FOR” the proposed resolution, or (2) the total number of shares of non-controlling shareholders and of shareholders who do not </w:t>
      </w:r>
      <w:r>
        <w:rPr>
          <w:color w:val="231F20"/>
          <w:spacing w:val="-5"/>
          <w:w w:val="105"/>
        </w:rPr>
        <w:t>have </w:t>
      </w:r>
      <w:r>
        <w:rPr>
          <w:color w:val="231F20"/>
          <w:w w:val="105"/>
        </w:rPr>
        <w:t>a personal interest in the resolution voted against </w:t>
      </w:r>
      <w:r>
        <w:rPr>
          <w:color w:val="231F20"/>
          <w:spacing w:val="-4"/>
          <w:w w:val="105"/>
        </w:rPr>
        <w:t>approval </w:t>
      </w:r>
      <w:r>
        <w:rPr>
          <w:color w:val="231F20"/>
          <w:w w:val="105"/>
        </w:rPr>
        <w:t>of the resolution does not exceed </w:t>
      </w:r>
      <w:r>
        <w:rPr>
          <w:color w:val="231F20"/>
          <w:spacing w:val="-3"/>
          <w:w w:val="105"/>
        </w:rPr>
        <w:t>two </w:t>
      </w:r>
      <w:r>
        <w:rPr>
          <w:color w:val="231F20"/>
          <w:w w:val="105"/>
        </w:rPr>
        <w:t>percent of the outstanding voting power in the </w:t>
      </w:r>
      <w:r>
        <w:rPr>
          <w:color w:val="231F20"/>
          <w:spacing w:val="-4"/>
          <w:w w:val="105"/>
        </w:rPr>
        <w:t>Company. </w:t>
      </w:r>
      <w:r>
        <w:rPr>
          <w:color w:val="231F20"/>
          <w:w w:val="105"/>
        </w:rPr>
        <w:t>The terms “Controlling Shareholder” and “personal interest” are defined below under Proposal</w:t>
      </w:r>
      <w:r>
        <w:rPr>
          <w:color w:val="231F20"/>
          <w:spacing w:val="-36"/>
          <w:w w:val="105"/>
        </w:rPr>
        <w:t> </w:t>
      </w:r>
      <w:r>
        <w:rPr>
          <w:color w:val="231F20"/>
          <w:w w:val="105"/>
        </w:rPr>
        <w:t>5.</w:t>
      </w:r>
    </w:p>
    <w:p>
      <w:pPr>
        <w:pStyle w:val="BodyText"/>
        <w:rPr>
          <w:sz w:val="21"/>
        </w:rPr>
      </w:pPr>
    </w:p>
    <w:p>
      <w:pPr>
        <w:pStyle w:val="Heading2"/>
        <w:spacing w:line="249" w:lineRule="auto"/>
        <w:ind w:left="1489" w:right="1322" w:hanging="400"/>
      </w:pPr>
      <w:r>
        <w:rPr>
          <w:color w:val="231F20"/>
        </w:rPr>
        <w:t>Q:</w:t>
      </w:r>
      <w:r>
        <w:rPr>
          <w:color w:val="231F20"/>
          <w:spacing w:val="14"/>
        </w:rPr>
        <w:t> </w:t>
      </w:r>
      <w:r>
        <w:rPr>
          <w:color w:val="231F20"/>
        </w:rPr>
        <w:t>How</w:t>
      </w:r>
      <w:r>
        <w:rPr>
          <w:color w:val="231F20"/>
          <w:spacing w:val="-18"/>
        </w:rPr>
        <w:t> </w:t>
      </w:r>
      <w:r>
        <w:rPr>
          <w:color w:val="231F20"/>
        </w:rPr>
        <w:t>will</w:t>
      </w:r>
      <w:r>
        <w:rPr>
          <w:color w:val="231F20"/>
          <w:spacing w:val="-19"/>
        </w:rPr>
        <w:t> </w:t>
      </w:r>
      <w:r>
        <w:rPr>
          <w:color w:val="231F20"/>
          <w:spacing w:val="-3"/>
        </w:rPr>
        <w:t>my</w:t>
      </w:r>
      <w:r>
        <w:rPr>
          <w:color w:val="231F20"/>
          <w:spacing w:val="-19"/>
        </w:rPr>
        <w:t> </w:t>
      </w:r>
      <w:r>
        <w:rPr>
          <w:color w:val="231F20"/>
        </w:rPr>
        <w:t>shares</w:t>
      </w:r>
      <w:r>
        <w:rPr>
          <w:color w:val="231F20"/>
          <w:spacing w:val="-18"/>
        </w:rPr>
        <w:t> </w:t>
      </w:r>
      <w:r>
        <w:rPr>
          <w:color w:val="231F20"/>
        </w:rPr>
        <w:t>be</w:t>
      </w:r>
      <w:r>
        <w:rPr>
          <w:color w:val="231F20"/>
          <w:spacing w:val="-19"/>
        </w:rPr>
        <w:t> </w:t>
      </w:r>
      <w:r>
        <w:rPr>
          <w:color w:val="231F20"/>
        </w:rPr>
        <w:t>voted</w:t>
      </w:r>
      <w:r>
        <w:rPr>
          <w:color w:val="231F20"/>
          <w:spacing w:val="-19"/>
        </w:rPr>
        <w:t> </w:t>
      </w:r>
      <w:r>
        <w:rPr>
          <w:color w:val="231F20"/>
        </w:rPr>
        <w:t>if</w:t>
      </w:r>
      <w:r>
        <w:rPr>
          <w:color w:val="231F20"/>
          <w:spacing w:val="-9"/>
        </w:rPr>
        <w:t> </w:t>
      </w:r>
      <w:r>
        <w:rPr>
          <w:color w:val="231F20"/>
        </w:rPr>
        <w:t>I</w:t>
      </w:r>
      <w:r>
        <w:rPr>
          <w:color w:val="231F20"/>
          <w:spacing w:val="-19"/>
        </w:rPr>
        <w:t> </w:t>
      </w:r>
      <w:r>
        <w:rPr>
          <w:color w:val="231F20"/>
        </w:rPr>
        <w:t>do</w:t>
      </w:r>
      <w:r>
        <w:rPr>
          <w:color w:val="231F20"/>
          <w:spacing w:val="-18"/>
        </w:rPr>
        <w:t> </w:t>
      </w:r>
      <w:r>
        <w:rPr>
          <w:color w:val="231F20"/>
        </w:rPr>
        <w:t>not</w:t>
      </w:r>
      <w:r>
        <w:rPr>
          <w:color w:val="231F20"/>
          <w:spacing w:val="-19"/>
        </w:rPr>
        <w:t> </w:t>
      </w:r>
      <w:r>
        <w:rPr>
          <w:color w:val="231F20"/>
        </w:rPr>
        <w:t>provide</w:t>
      </w:r>
      <w:r>
        <w:rPr>
          <w:color w:val="231F20"/>
          <w:spacing w:val="-19"/>
        </w:rPr>
        <w:t> </w:t>
      </w:r>
      <w:r>
        <w:rPr>
          <w:color w:val="231F20"/>
        </w:rPr>
        <w:t>instructions</w:t>
      </w:r>
      <w:r>
        <w:rPr>
          <w:color w:val="231F20"/>
          <w:spacing w:val="-19"/>
        </w:rPr>
        <w:t> </w:t>
      </w:r>
      <w:r>
        <w:rPr>
          <w:color w:val="231F20"/>
        </w:rPr>
        <w:t>on</w:t>
      </w:r>
      <w:r>
        <w:rPr>
          <w:color w:val="231F20"/>
          <w:spacing w:val="-18"/>
        </w:rPr>
        <w:t> </w:t>
      </w:r>
      <w:r>
        <w:rPr>
          <w:color w:val="231F20"/>
        </w:rPr>
        <w:t>the</w:t>
      </w:r>
      <w:r>
        <w:rPr>
          <w:color w:val="231F20"/>
          <w:spacing w:val="-19"/>
        </w:rPr>
        <w:t> </w:t>
      </w:r>
      <w:r>
        <w:rPr>
          <w:color w:val="231F20"/>
        </w:rPr>
        <w:t>voting</w:t>
      </w:r>
      <w:r>
        <w:rPr>
          <w:color w:val="231F20"/>
          <w:spacing w:val="-19"/>
        </w:rPr>
        <w:t> </w:t>
      </w:r>
      <w:r>
        <w:rPr>
          <w:color w:val="231F20"/>
        </w:rPr>
        <w:t>instruction</w:t>
      </w:r>
      <w:r>
        <w:rPr>
          <w:color w:val="231F20"/>
          <w:spacing w:val="-19"/>
        </w:rPr>
        <w:t> </w:t>
      </w:r>
      <w:r>
        <w:rPr>
          <w:color w:val="231F20"/>
        </w:rPr>
        <w:t>form,</w:t>
      </w:r>
      <w:r>
        <w:rPr>
          <w:color w:val="231F20"/>
          <w:spacing w:val="-18"/>
        </w:rPr>
        <w:t> </w:t>
      </w:r>
      <w:r>
        <w:rPr>
          <w:color w:val="231F20"/>
          <w:spacing w:val="-3"/>
        </w:rPr>
        <w:t>proxy</w:t>
      </w:r>
      <w:r>
        <w:rPr>
          <w:color w:val="231F20"/>
          <w:spacing w:val="-19"/>
        </w:rPr>
        <w:t> </w:t>
      </w:r>
      <w:r>
        <w:rPr>
          <w:color w:val="231F20"/>
        </w:rPr>
        <w:t>or</w:t>
      </w:r>
      <w:r>
        <w:rPr>
          <w:color w:val="231F20"/>
          <w:spacing w:val="-19"/>
        </w:rPr>
        <w:t> </w:t>
      </w:r>
      <w:r>
        <w:rPr>
          <w:color w:val="231F20"/>
        </w:rPr>
        <w:t>Ballot (as</w:t>
      </w:r>
      <w:r>
        <w:rPr>
          <w:color w:val="231F20"/>
          <w:spacing w:val="-2"/>
        </w:rPr>
        <w:t> </w:t>
      </w:r>
      <w:r>
        <w:rPr>
          <w:color w:val="231F20"/>
        </w:rPr>
        <w:t>applicable)?</w:t>
      </w:r>
    </w:p>
    <w:p>
      <w:pPr>
        <w:pStyle w:val="BodyText"/>
        <w:spacing w:line="249" w:lineRule="auto" w:before="161"/>
        <w:ind w:left="1489" w:right="1387" w:hanging="400"/>
      </w:pPr>
      <w:r>
        <w:rPr>
          <w:color w:val="231F20"/>
          <w:w w:val="105"/>
        </w:rPr>
        <w:t>A:   If  </w:t>
      </w:r>
      <w:r>
        <w:rPr>
          <w:color w:val="231F20"/>
          <w:spacing w:val="-3"/>
          <w:w w:val="105"/>
        </w:rPr>
        <w:t>you </w:t>
      </w:r>
      <w:r>
        <w:rPr>
          <w:color w:val="231F20"/>
          <w:w w:val="105"/>
        </w:rPr>
        <w:t>are a beneficial owner of  ordinary shares and return your Ballot but do not specify how </w:t>
      </w:r>
      <w:r>
        <w:rPr>
          <w:color w:val="231F20"/>
          <w:spacing w:val="-3"/>
          <w:w w:val="105"/>
        </w:rPr>
        <w:t>you </w:t>
      </w:r>
      <w:r>
        <w:rPr>
          <w:color w:val="231F20"/>
          <w:w w:val="105"/>
        </w:rPr>
        <w:t>want to </w:t>
      </w:r>
      <w:r>
        <w:rPr>
          <w:color w:val="231F20"/>
          <w:spacing w:val="-4"/>
          <w:w w:val="105"/>
        </w:rPr>
        <w:t>vote, </w:t>
      </w:r>
      <w:r>
        <w:rPr>
          <w:color w:val="231F20"/>
          <w:w w:val="105"/>
        </w:rPr>
        <w:t>your shares will be included in determining the presence of a quorum </w:t>
      </w:r>
      <w:r>
        <w:rPr>
          <w:color w:val="231F20"/>
          <w:spacing w:val="-3"/>
          <w:w w:val="105"/>
        </w:rPr>
        <w:t>at </w:t>
      </w:r>
      <w:r>
        <w:rPr>
          <w:color w:val="231F20"/>
          <w:w w:val="105"/>
        </w:rPr>
        <w:t>the Meeting but will</w:t>
      </w:r>
      <w:r>
        <w:rPr>
          <w:color w:val="231F20"/>
          <w:spacing w:val="-6"/>
          <w:w w:val="105"/>
        </w:rPr>
        <w:t> </w:t>
      </w:r>
      <w:r>
        <w:rPr>
          <w:color w:val="231F20"/>
          <w:w w:val="105"/>
        </w:rPr>
        <w:t>be</w:t>
      </w:r>
      <w:r>
        <w:rPr>
          <w:color w:val="231F20"/>
          <w:spacing w:val="-6"/>
          <w:w w:val="105"/>
        </w:rPr>
        <w:t> </w:t>
      </w:r>
      <w:r>
        <w:rPr>
          <w:color w:val="231F20"/>
          <w:w w:val="105"/>
        </w:rPr>
        <w:t>deemed</w:t>
      </w:r>
      <w:r>
        <w:rPr>
          <w:color w:val="231F20"/>
          <w:spacing w:val="-5"/>
          <w:w w:val="105"/>
        </w:rPr>
        <w:t> </w:t>
      </w:r>
      <w:r>
        <w:rPr>
          <w:color w:val="231F20"/>
          <w:w w:val="105"/>
        </w:rPr>
        <w:t>to</w:t>
      </w:r>
      <w:r>
        <w:rPr>
          <w:color w:val="231F20"/>
          <w:spacing w:val="-6"/>
          <w:w w:val="105"/>
        </w:rPr>
        <w:t> </w:t>
      </w:r>
      <w:r>
        <w:rPr>
          <w:color w:val="231F20"/>
          <w:spacing w:val="-5"/>
          <w:w w:val="105"/>
        </w:rPr>
        <w:t>have</w:t>
      </w:r>
      <w:r>
        <w:rPr>
          <w:color w:val="231F20"/>
          <w:spacing w:val="-6"/>
          <w:w w:val="105"/>
        </w:rPr>
        <w:t> </w:t>
      </w:r>
      <w:r>
        <w:rPr>
          <w:color w:val="231F20"/>
          <w:w w:val="105"/>
        </w:rPr>
        <w:t>abstained</w:t>
      </w:r>
      <w:r>
        <w:rPr>
          <w:color w:val="231F20"/>
          <w:spacing w:val="-6"/>
          <w:w w:val="105"/>
        </w:rPr>
        <w:t> </w:t>
      </w:r>
      <w:r>
        <w:rPr>
          <w:color w:val="231F20"/>
          <w:w w:val="105"/>
        </w:rPr>
        <w:t>from</w:t>
      </w:r>
      <w:r>
        <w:rPr>
          <w:color w:val="231F20"/>
          <w:spacing w:val="-5"/>
          <w:w w:val="105"/>
        </w:rPr>
        <w:t> </w:t>
      </w:r>
      <w:r>
        <w:rPr>
          <w:color w:val="231F20"/>
          <w:spacing w:val="-3"/>
          <w:w w:val="105"/>
        </w:rPr>
        <w:t>any</w:t>
      </w:r>
      <w:r>
        <w:rPr>
          <w:color w:val="231F20"/>
          <w:spacing w:val="-6"/>
          <w:w w:val="105"/>
        </w:rPr>
        <w:t> </w:t>
      </w:r>
      <w:r>
        <w:rPr>
          <w:color w:val="231F20"/>
          <w:w w:val="105"/>
        </w:rPr>
        <w:t>vote</w:t>
      </w:r>
      <w:r>
        <w:rPr>
          <w:color w:val="231F20"/>
          <w:spacing w:val="-6"/>
          <w:w w:val="105"/>
        </w:rPr>
        <w:t> </w:t>
      </w:r>
      <w:r>
        <w:rPr>
          <w:color w:val="231F20"/>
          <w:w w:val="105"/>
        </w:rPr>
        <w:t>on</w:t>
      </w:r>
      <w:r>
        <w:rPr>
          <w:color w:val="231F20"/>
          <w:spacing w:val="-5"/>
          <w:w w:val="105"/>
        </w:rPr>
        <w:t> </w:t>
      </w:r>
      <w:r>
        <w:rPr>
          <w:color w:val="231F20"/>
          <w:spacing w:val="-3"/>
          <w:w w:val="105"/>
        </w:rPr>
        <w:t>any</w:t>
      </w:r>
      <w:r>
        <w:rPr>
          <w:color w:val="231F20"/>
          <w:spacing w:val="-6"/>
          <w:w w:val="105"/>
        </w:rPr>
        <w:t> </w:t>
      </w:r>
      <w:r>
        <w:rPr>
          <w:color w:val="231F20"/>
          <w:w w:val="105"/>
        </w:rPr>
        <w:t>matter</w:t>
      </w:r>
      <w:r>
        <w:rPr>
          <w:color w:val="231F20"/>
          <w:spacing w:val="-6"/>
          <w:w w:val="105"/>
        </w:rPr>
        <w:t> </w:t>
      </w:r>
      <w:r>
        <w:rPr>
          <w:color w:val="231F20"/>
          <w:w w:val="105"/>
        </w:rPr>
        <w:t>to</w:t>
      </w:r>
      <w:r>
        <w:rPr>
          <w:color w:val="231F20"/>
          <w:spacing w:val="-5"/>
          <w:w w:val="105"/>
        </w:rPr>
        <w:t> </w:t>
      </w:r>
      <w:r>
        <w:rPr>
          <w:color w:val="231F20"/>
          <w:w w:val="105"/>
        </w:rPr>
        <w:t>be</w:t>
      </w:r>
      <w:r>
        <w:rPr>
          <w:color w:val="231F20"/>
          <w:spacing w:val="-6"/>
          <w:w w:val="105"/>
        </w:rPr>
        <w:t> </w:t>
      </w:r>
      <w:r>
        <w:rPr>
          <w:color w:val="231F20"/>
          <w:w w:val="105"/>
        </w:rPr>
        <w:t>considered</w:t>
      </w:r>
      <w:r>
        <w:rPr>
          <w:color w:val="231F20"/>
          <w:spacing w:val="-6"/>
          <w:w w:val="105"/>
        </w:rPr>
        <w:t> </w:t>
      </w:r>
      <w:r>
        <w:rPr>
          <w:color w:val="231F20"/>
          <w:spacing w:val="-3"/>
          <w:w w:val="105"/>
        </w:rPr>
        <w:t>at</w:t>
      </w:r>
      <w:r>
        <w:rPr>
          <w:color w:val="231F20"/>
          <w:spacing w:val="-5"/>
          <w:w w:val="105"/>
        </w:rPr>
        <w:t> </w:t>
      </w:r>
      <w:r>
        <w:rPr>
          <w:color w:val="231F20"/>
          <w:w w:val="105"/>
        </w:rPr>
        <w:t>the</w:t>
      </w:r>
      <w:r>
        <w:rPr>
          <w:color w:val="231F20"/>
          <w:spacing w:val="-6"/>
          <w:w w:val="105"/>
        </w:rPr>
        <w:t> </w:t>
      </w:r>
      <w:r>
        <w:rPr>
          <w:color w:val="231F20"/>
          <w:w w:val="105"/>
        </w:rPr>
        <w:t>Meeting.</w:t>
      </w:r>
      <w:r>
        <w:rPr>
          <w:color w:val="231F20"/>
          <w:spacing w:val="-6"/>
          <w:w w:val="105"/>
        </w:rPr>
        <w:t> </w:t>
      </w:r>
      <w:r>
        <w:rPr>
          <w:color w:val="231F20"/>
          <w:w w:val="105"/>
        </w:rPr>
        <w:t>If</w:t>
      </w:r>
      <w:r>
        <w:rPr>
          <w:color w:val="231F20"/>
          <w:spacing w:val="15"/>
          <w:w w:val="105"/>
        </w:rPr>
        <w:t> </w:t>
      </w:r>
      <w:r>
        <w:rPr>
          <w:color w:val="231F20"/>
          <w:spacing w:val="-3"/>
          <w:w w:val="105"/>
        </w:rPr>
        <w:t>you</w:t>
      </w:r>
      <w:r>
        <w:rPr>
          <w:color w:val="231F20"/>
          <w:spacing w:val="-6"/>
          <w:w w:val="105"/>
        </w:rPr>
        <w:t> are </w:t>
      </w:r>
      <w:r>
        <w:rPr>
          <w:color w:val="231F20"/>
          <w:w w:val="105"/>
        </w:rPr>
        <w:t>a holder of ordinary shares and submit a </w:t>
      </w:r>
      <w:r>
        <w:rPr>
          <w:color w:val="231F20"/>
          <w:spacing w:val="-6"/>
          <w:w w:val="105"/>
        </w:rPr>
        <w:t>proxy, </w:t>
      </w:r>
      <w:r>
        <w:rPr>
          <w:color w:val="231F20"/>
          <w:w w:val="105"/>
        </w:rPr>
        <w:t>your shares will be voted in the sole and absolute discretion of your</w:t>
      </w:r>
      <w:r>
        <w:rPr>
          <w:color w:val="231F20"/>
          <w:spacing w:val="8"/>
          <w:w w:val="105"/>
        </w:rPr>
        <w:t> </w:t>
      </w:r>
      <w:r>
        <w:rPr>
          <w:color w:val="231F20"/>
          <w:w w:val="105"/>
        </w:rPr>
        <w:t>representative.</w:t>
      </w:r>
    </w:p>
    <w:p>
      <w:pPr>
        <w:pStyle w:val="BodyText"/>
        <w:spacing w:line="249" w:lineRule="auto" w:before="161"/>
        <w:ind w:left="1489" w:right="1382"/>
      </w:pPr>
      <w:r>
        <w:rPr>
          <w:color w:val="231F20"/>
          <w:w w:val="110"/>
        </w:rPr>
        <w:t>If</w:t>
      </w:r>
      <w:r>
        <w:rPr>
          <w:color w:val="231F20"/>
          <w:spacing w:val="-3"/>
          <w:w w:val="110"/>
        </w:rPr>
        <w:t> you</w:t>
      </w:r>
      <w:r>
        <w:rPr>
          <w:color w:val="231F20"/>
          <w:spacing w:val="-16"/>
          <w:w w:val="110"/>
        </w:rPr>
        <w:t> </w:t>
      </w:r>
      <w:r>
        <w:rPr>
          <w:color w:val="231F20"/>
          <w:w w:val="110"/>
        </w:rPr>
        <w:t>are</w:t>
      </w:r>
      <w:r>
        <w:rPr>
          <w:color w:val="231F20"/>
          <w:spacing w:val="-17"/>
          <w:w w:val="110"/>
        </w:rPr>
        <w:t> </w:t>
      </w:r>
      <w:r>
        <w:rPr>
          <w:color w:val="231F20"/>
          <w:w w:val="110"/>
        </w:rPr>
        <w:t>a</w:t>
      </w:r>
      <w:r>
        <w:rPr>
          <w:color w:val="231F20"/>
          <w:spacing w:val="-17"/>
          <w:w w:val="110"/>
        </w:rPr>
        <w:t> </w:t>
      </w:r>
      <w:r>
        <w:rPr>
          <w:color w:val="231F20"/>
          <w:w w:val="110"/>
        </w:rPr>
        <w:t>holder</w:t>
      </w:r>
      <w:r>
        <w:rPr>
          <w:color w:val="231F20"/>
          <w:spacing w:val="-17"/>
          <w:w w:val="110"/>
        </w:rPr>
        <w:t> </w:t>
      </w:r>
      <w:r>
        <w:rPr>
          <w:color w:val="231F20"/>
          <w:w w:val="110"/>
        </w:rPr>
        <w:t>of</w:t>
      </w:r>
      <w:r>
        <w:rPr>
          <w:color w:val="231F20"/>
          <w:spacing w:val="-2"/>
          <w:w w:val="110"/>
        </w:rPr>
        <w:t> </w:t>
      </w:r>
      <w:r>
        <w:rPr>
          <w:color w:val="231F20"/>
          <w:w w:val="110"/>
        </w:rPr>
        <w:t>ADSs</w:t>
      </w:r>
      <w:r>
        <w:rPr>
          <w:color w:val="231F20"/>
          <w:spacing w:val="-17"/>
          <w:w w:val="110"/>
        </w:rPr>
        <w:t> </w:t>
      </w:r>
      <w:r>
        <w:rPr>
          <w:color w:val="231F20"/>
          <w:w w:val="110"/>
        </w:rPr>
        <w:t>(whether</w:t>
      </w:r>
      <w:r>
        <w:rPr>
          <w:color w:val="231F20"/>
          <w:spacing w:val="-17"/>
          <w:w w:val="110"/>
        </w:rPr>
        <w:t> </w:t>
      </w:r>
      <w:r>
        <w:rPr>
          <w:color w:val="231F20"/>
          <w:w w:val="110"/>
        </w:rPr>
        <w:t>directly</w:t>
      </w:r>
      <w:r>
        <w:rPr>
          <w:color w:val="231F20"/>
          <w:spacing w:val="-17"/>
          <w:w w:val="110"/>
        </w:rPr>
        <w:t> </w:t>
      </w:r>
      <w:r>
        <w:rPr>
          <w:color w:val="231F20"/>
          <w:w w:val="110"/>
        </w:rPr>
        <w:t>or</w:t>
      </w:r>
      <w:r>
        <w:rPr>
          <w:color w:val="231F20"/>
          <w:spacing w:val="-17"/>
          <w:w w:val="110"/>
        </w:rPr>
        <w:t> </w:t>
      </w:r>
      <w:r>
        <w:rPr>
          <w:color w:val="231F20"/>
          <w:w w:val="110"/>
        </w:rPr>
        <w:t>in</w:t>
      </w:r>
      <w:r>
        <w:rPr>
          <w:color w:val="231F20"/>
          <w:spacing w:val="-17"/>
          <w:w w:val="110"/>
        </w:rPr>
        <w:t> </w:t>
      </w:r>
      <w:r>
        <w:rPr>
          <w:color w:val="231F20"/>
          <w:w w:val="110"/>
        </w:rPr>
        <w:t>“street</w:t>
      </w:r>
      <w:r>
        <w:rPr>
          <w:color w:val="231F20"/>
          <w:spacing w:val="-17"/>
          <w:w w:val="110"/>
        </w:rPr>
        <w:t> </w:t>
      </w:r>
      <w:r>
        <w:rPr>
          <w:color w:val="231F20"/>
          <w:w w:val="110"/>
        </w:rPr>
        <w:t>name”)</w:t>
      </w:r>
      <w:r>
        <w:rPr>
          <w:color w:val="231F20"/>
          <w:spacing w:val="-16"/>
          <w:w w:val="110"/>
        </w:rPr>
        <w:t> </w:t>
      </w:r>
      <w:r>
        <w:rPr>
          <w:color w:val="231F20"/>
          <w:w w:val="110"/>
        </w:rPr>
        <w:t>and</w:t>
      </w:r>
      <w:r>
        <w:rPr>
          <w:color w:val="231F20"/>
          <w:spacing w:val="-17"/>
          <w:w w:val="110"/>
        </w:rPr>
        <w:t> </w:t>
      </w:r>
      <w:r>
        <w:rPr>
          <w:color w:val="231F20"/>
          <w:w w:val="110"/>
        </w:rPr>
        <w:t>do</w:t>
      </w:r>
      <w:r>
        <w:rPr>
          <w:color w:val="231F20"/>
          <w:spacing w:val="-17"/>
          <w:w w:val="110"/>
        </w:rPr>
        <w:t> </w:t>
      </w:r>
      <w:r>
        <w:rPr>
          <w:color w:val="231F20"/>
          <w:w w:val="110"/>
        </w:rPr>
        <w:t>not</w:t>
      </w:r>
      <w:r>
        <w:rPr>
          <w:color w:val="231F20"/>
          <w:spacing w:val="-17"/>
          <w:w w:val="110"/>
        </w:rPr>
        <w:t> </w:t>
      </w:r>
      <w:r>
        <w:rPr>
          <w:color w:val="231F20"/>
          <w:w w:val="110"/>
        </w:rPr>
        <w:t>specify</w:t>
      </w:r>
      <w:r>
        <w:rPr>
          <w:color w:val="231F20"/>
          <w:spacing w:val="-17"/>
          <w:w w:val="110"/>
        </w:rPr>
        <w:t> </w:t>
      </w:r>
      <w:r>
        <w:rPr>
          <w:color w:val="231F20"/>
          <w:w w:val="110"/>
        </w:rPr>
        <w:t>on</w:t>
      </w:r>
      <w:r>
        <w:rPr>
          <w:color w:val="231F20"/>
          <w:spacing w:val="-17"/>
          <w:w w:val="110"/>
        </w:rPr>
        <w:t> </w:t>
      </w:r>
      <w:r>
        <w:rPr>
          <w:color w:val="231F20"/>
          <w:w w:val="110"/>
        </w:rPr>
        <w:t>your</w:t>
      </w:r>
      <w:r>
        <w:rPr>
          <w:color w:val="231F20"/>
          <w:spacing w:val="-17"/>
          <w:w w:val="110"/>
        </w:rPr>
        <w:t> </w:t>
      </w:r>
      <w:r>
        <w:rPr>
          <w:color w:val="231F20"/>
          <w:w w:val="110"/>
        </w:rPr>
        <w:t>voting instruction</w:t>
      </w:r>
      <w:r>
        <w:rPr>
          <w:color w:val="231F20"/>
          <w:spacing w:val="-15"/>
          <w:w w:val="110"/>
        </w:rPr>
        <w:t> </w:t>
      </w:r>
      <w:r>
        <w:rPr>
          <w:color w:val="231F20"/>
          <w:w w:val="110"/>
        </w:rPr>
        <w:t>form</w:t>
      </w:r>
      <w:r>
        <w:rPr>
          <w:color w:val="231F20"/>
          <w:spacing w:val="-14"/>
          <w:w w:val="110"/>
        </w:rPr>
        <w:t> </w:t>
      </w:r>
      <w:r>
        <w:rPr>
          <w:color w:val="231F20"/>
          <w:w w:val="110"/>
        </w:rPr>
        <w:t>how</w:t>
      </w:r>
      <w:r>
        <w:rPr>
          <w:color w:val="231F20"/>
          <w:spacing w:val="-14"/>
          <w:w w:val="110"/>
        </w:rPr>
        <w:t> </w:t>
      </w:r>
      <w:r>
        <w:rPr>
          <w:color w:val="231F20"/>
          <w:spacing w:val="-3"/>
          <w:w w:val="110"/>
        </w:rPr>
        <w:t>you</w:t>
      </w:r>
      <w:r>
        <w:rPr>
          <w:color w:val="231F20"/>
          <w:spacing w:val="-14"/>
          <w:w w:val="110"/>
        </w:rPr>
        <w:t> </w:t>
      </w:r>
      <w:r>
        <w:rPr>
          <w:color w:val="231F20"/>
          <w:w w:val="110"/>
        </w:rPr>
        <w:t>want</w:t>
      </w:r>
      <w:r>
        <w:rPr>
          <w:color w:val="231F20"/>
          <w:spacing w:val="-15"/>
          <w:w w:val="110"/>
        </w:rPr>
        <w:t> </w:t>
      </w:r>
      <w:r>
        <w:rPr>
          <w:color w:val="231F20"/>
          <w:w w:val="110"/>
        </w:rPr>
        <w:t>to</w:t>
      </w:r>
      <w:r>
        <w:rPr>
          <w:color w:val="231F20"/>
          <w:spacing w:val="-14"/>
          <w:w w:val="110"/>
        </w:rPr>
        <w:t> </w:t>
      </w:r>
      <w:r>
        <w:rPr>
          <w:color w:val="231F20"/>
          <w:w w:val="110"/>
        </w:rPr>
        <w:t>vote</w:t>
      </w:r>
      <w:r>
        <w:rPr>
          <w:color w:val="231F20"/>
          <w:spacing w:val="-14"/>
          <w:w w:val="110"/>
        </w:rPr>
        <w:t> </w:t>
      </w:r>
      <w:r>
        <w:rPr>
          <w:color w:val="231F20"/>
          <w:w w:val="110"/>
        </w:rPr>
        <w:t>the</w:t>
      </w:r>
      <w:r>
        <w:rPr>
          <w:color w:val="231F20"/>
          <w:spacing w:val="-14"/>
          <w:w w:val="110"/>
        </w:rPr>
        <w:t> </w:t>
      </w:r>
      <w:r>
        <w:rPr>
          <w:color w:val="231F20"/>
          <w:w w:val="110"/>
        </w:rPr>
        <w:t>shares</w:t>
      </w:r>
      <w:r>
        <w:rPr>
          <w:color w:val="231F20"/>
          <w:spacing w:val="-15"/>
          <w:w w:val="110"/>
        </w:rPr>
        <w:t> </w:t>
      </w:r>
      <w:r>
        <w:rPr>
          <w:color w:val="231F20"/>
          <w:w w:val="110"/>
        </w:rPr>
        <w:t>underlying</w:t>
      </w:r>
      <w:r>
        <w:rPr>
          <w:color w:val="231F20"/>
          <w:spacing w:val="-14"/>
          <w:w w:val="110"/>
        </w:rPr>
        <w:t> </w:t>
      </w:r>
      <w:r>
        <w:rPr>
          <w:color w:val="231F20"/>
          <w:w w:val="110"/>
        </w:rPr>
        <w:t>your</w:t>
      </w:r>
      <w:r>
        <w:rPr>
          <w:color w:val="231F20"/>
          <w:spacing w:val="-14"/>
          <w:w w:val="110"/>
        </w:rPr>
        <w:t> </w:t>
      </w:r>
      <w:r>
        <w:rPr>
          <w:color w:val="231F20"/>
          <w:w w:val="110"/>
        </w:rPr>
        <w:t>ADSs</w:t>
      </w:r>
      <w:r>
        <w:rPr>
          <w:color w:val="231F20"/>
          <w:spacing w:val="-14"/>
          <w:w w:val="110"/>
        </w:rPr>
        <w:t> </w:t>
      </w:r>
      <w:r>
        <w:rPr>
          <w:color w:val="231F20"/>
          <w:w w:val="110"/>
        </w:rPr>
        <w:t>or</w:t>
      </w:r>
      <w:r>
        <w:rPr>
          <w:color w:val="231F20"/>
          <w:spacing w:val="-15"/>
          <w:w w:val="110"/>
        </w:rPr>
        <w:t> </w:t>
      </w:r>
      <w:r>
        <w:rPr>
          <w:color w:val="231F20"/>
          <w:w w:val="110"/>
        </w:rPr>
        <w:t>do</w:t>
      </w:r>
      <w:r>
        <w:rPr>
          <w:color w:val="231F20"/>
          <w:spacing w:val="-14"/>
          <w:w w:val="110"/>
        </w:rPr>
        <w:t> </w:t>
      </w:r>
      <w:r>
        <w:rPr>
          <w:color w:val="231F20"/>
          <w:w w:val="110"/>
        </w:rPr>
        <w:t>not</w:t>
      </w:r>
      <w:r>
        <w:rPr>
          <w:color w:val="231F20"/>
          <w:spacing w:val="-14"/>
          <w:w w:val="110"/>
        </w:rPr>
        <w:t> </w:t>
      </w:r>
      <w:r>
        <w:rPr>
          <w:color w:val="231F20"/>
          <w:w w:val="110"/>
        </w:rPr>
        <w:t>return</w:t>
      </w:r>
      <w:r>
        <w:rPr>
          <w:color w:val="231F20"/>
          <w:spacing w:val="-14"/>
          <w:w w:val="110"/>
        </w:rPr>
        <w:t> </w:t>
      </w:r>
      <w:r>
        <w:rPr>
          <w:color w:val="231F20"/>
          <w:w w:val="110"/>
        </w:rPr>
        <w:t>your</w:t>
      </w:r>
      <w:r>
        <w:rPr>
          <w:color w:val="231F20"/>
          <w:spacing w:val="-15"/>
          <w:w w:val="110"/>
        </w:rPr>
        <w:t> </w:t>
      </w:r>
      <w:r>
        <w:rPr>
          <w:color w:val="231F20"/>
          <w:w w:val="110"/>
        </w:rPr>
        <w:t>voting instruction</w:t>
      </w:r>
      <w:r>
        <w:rPr>
          <w:color w:val="231F20"/>
          <w:spacing w:val="-24"/>
          <w:w w:val="110"/>
        </w:rPr>
        <w:t> </w:t>
      </w:r>
      <w:r>
        <w:rPr>
          <w:color w:val="231F20"/>
          <w:w w:val="110"/>
        </w:rPr>
        <w:t>form</w:t>
      </w:r>
      <w:r>
        <w:rPr>
          <w:color w:val="231F20"/>
          <w:spacing w:val="-23"/>
          <w:w w:val="110"/>
        </w:rPr>
        <w:t> </w:t>
      </w:r>
      <w:r>
        <w:rPr>
          <w:color w:val="231F20"/>
          <w:w w:val="110"/>
        </w:rPr>
        <w:t>on</w:t>
      </w:r>
      <w:r>
        <w:rPr>
          <w:color w:val="231F20"/>
          <w:spacing w:val="-23"/>
          <w:w w:val="110"/>
        </w:rPr>
        <w:t> </w:t>
      </w:r>
      <w:r>
        <w:rPr>
          <w:color w:val="231F20"/>
          <w:w w:val="110"/>
        </w:rPr>
        <w:t>or</w:t>
      </w:r>
      <w:r>
        <w:rPr>
          <w:color w:val="231F20"/>
          <w:spacing w:val="-23"/>
          <w:w w:val="110"/>
        </w:rPr>
        <w:t> </w:t>
      </w:r>
      <w:r>
        <w:rPr>
          <w:color w:val="231F20"/>
          <w:w w:val="110"/>
        </w:rPr>
        <w:t>before</w:t>
      </w:r>
      <w:r>
        <w:rPr>
          <w:color w:val="231F20"/>
          <w:spacing w:val="-23"/>
          <w:w w:val="110"/>
        </w:rPr>
        <w:t> </w:t>
      </w:r>
      <w:r>
        <w:rPr>
          <w:color w:val="231F20"/>
          <w:w w:val="110"/>
        </w:rPr>
        <w:t>the</w:t>
      </w:r>
      <w:r>
        <w:rPr>
          <w:color w:val="231F20"/>
          <w:spacing w:val="-23"/>
          <w:w w:val="110"/>
        </w:rPr>
        <w:t> </w:t>
      </w:r>
      <w:r>
        <w:rPr>
          <w:color w:val="231F20"/>
          <w:w w:val="110"/>
        </w:rPr>
        <w:t>date</w:t>
      </w:r>
      <w:r>
        <w:rPr>
          <w:color w:val="231F20"/>
          <w:spacing w:val="-24"/>
          <w:w w:val="110"/>
        </w:rPr>
        <w:t> </w:t>
      </w:r>
      <w:r>
        <w:rPr>
          <w:color w:val="231F20"/>
          <w:w w:val="110"/>
        </w:rPr>
        <w:t>established</w:t>
      </w:r>
      <w:r>
        <w:rPr>
          <w:color w:val="231F20"/>
          <w:spacing w:val="-23"/>
          <w:w w:val="110"/>
        </w:rPr>
        <w:t> </w:t>
      </w:r>
      <w:r>
        <w:rPr>
          <w:color w:val="231F20"/>
          <w:w w:val="110"/>
        </w:rPr>
        <w:t>by</w:t>
      </w:r>
      <w:r>
        <w:rPr>
          <w:color w:val="231F20"/>
          <w:spacing w:val="-23"/>
          <w:w w:val="110"/>
        </w:rPr>
        <w:t> </w:t>
      </w:r>
      <w:r>
        <w:rPr>
          <w:color w:val="231F20"/>
          <w:w w:val="110"/>
        </w:rPr>
        <w:t>Bank</w:t>
      </w:r>
      <w:r>
        <w:rPr>
          <w:color w:val="231F20"/>
          <w:spacing w:val="-23"/>
          <w:w w:val="110"/>
        </w:rPr>
        <w:t> </w:t>
      </w:r>
      <w:r>
        <w:rPr>
          <w:color w:val="231F20"/>
          <w:w w:val="110"/>
        </w:rPr>
        <w:t>of</w:t>
      </w:r>
      <w:r>
        <w:rPr>
          <w:color w:val="231F20"/>
          <w:spacing w:val="-11"/>
          <w:w w:val="110"/>
        </w:rPr>
        <w:t> </w:t>
      </w:r>
      <w:r>
        <w:rPr>
          <w:color w:val="231F20"/>
          <w:w w:val="110"/>
        </w:rPr>
        <w:t>New</w:t>
      </w:r>
      <w:r>
        <w:rPr>
          <w:color w:val="231F20"/>
          <w:spacing w:val="-23"/>
          <w:w w:val="110"/>
        </w:rPr>
        <w:t> </w:t>
      </w:r>
      <w:r>
        <w:rPr>
          <w:color w:val="231F20"/>
          <w:spacing w:val="-8"/>
          <w:w w:val="110"/>
        </w:rPr>
        <w:t>York</w:t>
      </w:r>
      <w:r>
        <w:rPr>
          <w:color w:val="231F20"/>
          <w:spacing w:val="-23"/>
          <w:w w:val="110"/>
        </w:rPr>
        <w:t> </w:t>
      </w:r>
      <w:r>
        <w:rPr>
          <w:color w:val="231F20"/>
          <w:w w:val="110"/>
        </w:rPr>
        <w:t>Mellon</w:t>
      </w:r>
      <w:r>
        <w:rPr>
          <w:color w:val="231F20"/>
          <w:spacing w:val="-23"/>
          <w:w w:val="110"/>
        </w:rPr>
        <w:t> </w:t>
      </w:r>
      <w:r>
        <w:rPr>
          <w:color w:val="231F20"/>
          <w:spacing w:val="-3"/>
          <w:w w:val="110"/>
        </w:rPr>
        <w:t>for</w:t>
      </w:r>
      <w:r>
        <w:rPr>
          <w:color w:val="231F20"/>
          <w:spacing w:val="-24"/>
          <w:w w:val="110"/>
        </w:rPr>
        <w:t> </w:t>
      </w:r>
      <w:r>
        <w:rPr>
          <w:color w:val="231F20"/>
          <w:w w:val="110"/>
        </w:rPr>
        <w:t>such</w:t>
      </w:r>
      <w:r>
        <w:rPr>
          <w:color w:val="231F20"/>
          <w:spacing w:val="-23"/>
          <w:w w:val="110"/>
        </w:rPr>
        <w:t> </w:t>
      </w:r>
      <w:r>
        <w:rPr>
          <w:color w:val="231F20"/>
          <w:w w:val="110"/>
        </w:rPr>
        <w:t>purpose,</w:t>
      </w:r>
      <w:r>
        <w:rPr>
          <w:color w:val="231F20"/>
          <w:spacing w:val="-23"/>
          <w:w w:val="110"/>
        </w:rPr>
        <w:t> </w:t>
      </w:r>
      <w:r>
        <w:rPr>
          <w:color w:val="231F20"/>
          <w:spacing w:val="-4"/>
          <w:w w:val="110"/>
        </w:rPr>
        <w:t>Bank </w:t>
      </w:r>
      <w:r>
        <w:rPr>
          <w:color w:val="231F20"/>
          <w:w w:val="110"/>
        </w:rPr>
        <w:t>of</w:t>
      </w:r>
      <w:r>
        <w:rPr>
          <w:color w:val="231F20"/>
          <w:spacing w:val="4"/>
          <w:w w:val="110"/>
        </w:rPr>
        <w:t> </w:t>
      </w:r>
      <w:r>
        <w:rPr>
          <w:color w:val="231F20"/>
          <w:w w:val="110"/>
        </w:rPr>
        <w:t>New</w:t>
      </w:r>
      <w:r>
        <w:rPr>
          <w:color w:val="231F20"/>
          <w:spacing w:val="-13"/>
          <w:w w:val="110"/>
        </w:rPr>
        <w:t> </w:t>
      </w:r>
      <w:r>
        <w:rPr>
          <w:color w:val="231F20"/>
          <w:spacing w:val="-8"/>
          <w:w w:val="110"/>
        </w:rPr>
        <w:t>York</w:t>
      </w:r>
      <w:r>
        <w:rPr>
          <w:color w:val="231F20"/>
          <w:spacing w:val="-12"/>
          <w:w w:val="110"/>
        </w:rPr>
        <w:t> </w:t>
      </w:r>
      <w:r>
        <w:rPr>
          <w:color w:val="231F20"/>
          <w:w w:val="110"/>
        </w:rPr>
        <w:t>Mellon</w:t>
      </w:r>
      <w:r>
        <w:rPr>
          <w:color w:val="231F20"/>
          <w:spacing w:val="-13"/>
          <w:w w:val="110"/>
        </w:rPr>
        <w:t> </w:t>
      </w:r>
      <w:r>
        <w:rPr>
          <w:color w:val="231F20"/>
          <w:w w:val="110"/>
        </w:rPr>
        <w:t>will</w:t>
      </w:r>
      <w:r>
        <w:rPr>
          <w:color w:val="231F20"/>
          <w:spacing w:val="-12"/>
          <w:w w:val="110"/>
        </w:rPr>
        <w:t> </w:t>
      </w:r>
      <w:r>
        <w:rPr>
          <w:color w:val="231F20"/>
          <w:w w:val="110"/>
        </w:rPr>
        <w:t>not</w:t>
      </w:r>
      <w:r>
        <w:rPr>
          <w:color w:val="231F20"/>
          <w:spacing w:val="-12"/>
          <w:w w:val="110"/>
        </w:rPr>
        <w:t> </w:t>
      </w:r>
      <w:r>
        <w:rPr>
          <w:color w:val="231F20"/>
          <w:w w:val="110"/>
        </w:rPr>
        <w:t>vote</w:t>
      </w:r>
      <w:r>
        <w:rPr>
          <w:color w:val="231F20"/>
          <w:spacing w:val="-13"/>
          <w:w w:val="110"/>
        </w:rPr>
        <w:t> </w:t>
      </w:r>
      <w:r>
        <w:rPr>
          <w:color w:val="231F20"/>
          <w:w w:val="110"/>
        </w:rPr>
        <w:t>or</w:t>
      </w:r>
      <w:r>
        <w:rPr>
          <w:color w:val="231F20"/>
          <w:spacing w:val="-12"/>
          <w:w w:val="110"/>
        </w:rPr>
        <w:t> </w:t>
      </w:r>
      <w:r>
        <w:rPr>
          <w:color w:val="231F20"/>
          <w:w w:val="110"/>
        </w:rPr>
        <w:t>attempt</w:t>
      </w:r>
      <w:r>
        <w:rPr>
          <w:color w:val="231F20"/>
          <w:spacing w:val="-13"/>
          <w:w w:val="110"/>
        </w:rPr>
        <w:t> </w:t>
      </w:r>
      <w:r>
        <w:rPr>
          <w:color w:val="231F20"/>
          <w:w w:val="110"/>
        </w:rPr>
        <w:t>to</w:t>
      </w:r>
      <w:r>
        <w:rPr>
          <w:color w:val="231F20"/>
          <w:spacing w:val="-12"/>
          <w:w w:val="110"/>
        </w:rPr>
        <w:t> </w:t>
      </w:r>
      <w:r>
        <w:rPr>
          <w:color w:val="231F20"/>
          <w:w w:val="110"/>
        </w:rPr>
        <w:t>vote</w:t>
      </w:r>
      <w:r>
        <w:rPr>
          <w:color w:val="231F20"/>
          <w:spacing w:val="-12"/>
          <w:w w:val="110"/>
        </w:rPr>
        <w:t> </w:t>
      </w:r>
      <w:r>
        <w:rPr>
          <w:color w:val="231F20"/>
          <w:w w:val="110"/>
        </w:rPr>
        <w:t>the</w:t>
      </w:r>
      <w:r>
        <w:rPr>
          <w:color w:val="231F20"/>
          <w:spacing w:val="-13"/>
          <w:w w:val="110"/>
        </w:rPr>
        <w:t> </w:t>
      </w:r>
      <w:r>
        <w:rPr>
          <w:color w:val="231F20"/>
          <w:w w:val="110"/>
        </w:rPr>
        <w:t>shares</w:t>
      </w:r>
      <w:r>
        <w:rPr>
          <w:color w:val="231F20"/>
          <w:spacing w:val="-12"/>
          <w:w w:val="110"/>
        </w:rPr>
        <w:t> </w:t>
      </w:r>
      <w:r>
        <w:rPr>
          <w:color w:val="231F20"/>
          <w:w w:val="110"/>
        </w:rPr>
        <w:t>represented</w:t>
      </w:r>
      <w:r>
        <w:rPr>
          <w:color w:val="231F20"/>
          <w:spacing w:val="-13"/>
          <w:w w:val="110"/>
        </w:rPr>
        <w:t> </w:t>
      </w:r>
      <w:r>
        <w:rPr>
          <w:color w:val="231F20"/>
          <w:w w:val="110"/>
        </w:rPr>
        <w:t>by</w:t>
      </w:r>
      <w:r>
        <w:rPr>
          <w:color w:val="231F20"/>
          <w:spacing w:val="-12"/>
          <w:w w:val="110"/>
        </w:rPr>
        <w:t> </w:t>
      </w:r>
      <w:r>
        <w:rPr>
          <w:color w:val="231F20"/>
          <w:w w:val="110"/>
        </w:rPr>
        <w:t>your</w:t>
      </w:r>
      <w:r>
        <w:rPr>
          <w:color w:val="231F20"/>
          <w:spacing w:val="-12"/>
          <w:w w:val="110"/>
        </w:rPr>
        <w:t> </w:t>
      </w:r>
      <w:r>
        <w:rPr>
          <w:color w:val="231F20"/>
          <w:spacing w:val="-3"/>
          <w:w w:val="110"/>
        </w:rPr>
        <w:t>ADSs.</w:t>
      </w:r>
    </w:p>
    <w:p>
      <w:pPr>
        <w:pStyle w:val="BodyText"/>
        <w:spacing w:before="10"/>
      </w:pPr>
    </w:p>
    <w:p>
      <w:pPr>
        <w:pStyle w:val="Heading2"/>
        <w:ind w:left="1721" w:right="2017"/>
        <w:jc w:val="center"/>
      </w:pPr>
      <w:r>
        <w:rPr>
          <w:color w:val="231F20"/>
          <w:w w:val="105"/>
        </w:rPr>
        <w:t>HOW TO FIND VOTING RESULTS</w:t>
      </w:r>
    </w:p>
    <w:p>
      <w:pPr>
        <w:pStyle w:val="BodyText"/>
        <w:spacing w:before="8"/>
        <w:rPr>
          <w:b/>
          <w:sz w:val="21"/>
        </w:rPr>
      </w:pPr>
    </w:p>
    <w:p>
      <w:pPr>
        <w:spacing w:before="0"/>
        <w:ind w:left="1090" w:right="0" w:firstLine="0"/>
        <w:jc w:val="left"/>
        <w:rPr>
          <w:b/>
          <w:sz w:val="20"/>
        </w:rPr>
      </w:pPr>
      <w:r>
        <w:rPr>
          <w:b/>
          <w:color w:val="231F20"/>
          <w:sz w:val="20"/>
        </w:rPr>
        <w:t>Q: Where do I find the voting results of the Annual General Meeting?</w:t>
      </w:r>
    </w:p>
    <w:p>
      <w:pPr>
        <w:pStyle w:val="BodyText"/>
        <w:spacing w:line="249" w:lineRule="auto" w:before="169"/>
        <w:ind w:left="1489" w:right="1382" w:hanging="400"/>
      </w:pPr>
      <w:r>
        <w:rPr>
          <w:color w:val="231F20"/>
          <w:w w:val="105"/>
        </w:rPr>
        <w:t>A: </w:t>
      </w:r>
      <w:r>
        <w:rPr>
          <w:color w:val="231F20"/>
          <w:spacing w:val="-10"/>
          <w:w w:val="105"/>
        </w:rPr>
        <w:t>We </w:t>
      </w:r>
      <w:r>
        <w:rPr>
          <w:color w:val="231F20"/>
          <w:w w:val="105"/>
        </w:rPr>
        <w:t>plan to announce preliminary voting results </w:t>
      </w:r>
      <w:r>
        <w:rPr>
          <w:color w:val="231F20"/>
          <w:spacing w:val="-3"/>
          <w:w w:val="105"/>
        </w:rPr>
        <w:t>at </w:t>
      </w:r>
      <w:r>
        <w:rPr>
          <w:color w:val="231F20"/>
          <w:w w:val="105"/>
        </w:rPr>
        <w:t>the Meeting and to report the final voting results following</w:t>
      </w:r>
      <w:r>
        <w:rPr>
          <w:color w:val="231F20"/>
          <w:spacing w:val="-8"/>
          <w:w w:val="105"/>
        </w:rPr>
        <w:t> </w:t>
      </w:r>
      <w:r>
        <w:rPr>
          <w:color w:val="231F20"/>
          <w:w w:val="105"/>
        </w:rPr>
        <w:t>the</w:t>
      </w:r>
      <w:r>
        <w:rPr>
          <w:color w:val="231F20"/>
          <w:spacing w:val="-8"/>
          <w:w w:val="105"/>
        </w:rPr>
        <w:t> </w:t>
      </w:r>
      <w:r>
        <w:rPr>
          <w:color w:val="231F20"/>
          <w:w w:val="105"/>
        </w:rPr>
        <w:t>Meeting</w:t>
      </w:r>
      <w:r>
        <w:rPr>
          <w:color w:val="231F20"/>
          <w:spacing w:val="-8"/>
          <w:w w:val="105"/>
        </w:rPr>
        <w:t> </w:t>
      </w:r>
      <w:r>
        <w:rPr>
          <w:color w:val="231F20"/>
          <w:w w:val="105"/>
        </w:rPr>
        <w:t>in</w:t>
      </w:r>
      <w:r>
        <w:rPr>
          <w:color w:val="231F20"/>
          <w:spacing w:val="-8"/>
          <w:w w:val="105"/>
        </w:rPr>
        <w:t> </w:t>
      </w:r>
      <w:r>
        <w:rPr>
          <w:color w:val="231F20"/>
          <w:w w:val="105"/>
        </w:rPr>
        <w:t>a</w:t>
      </w:r>
      <w:r>
        <w:rPr>
          <w:color w:val="231F20"/>
          <w:spacing w:val="-8"/>
          <w:w w:val="105"/>
        </w:rPr>
        <w:t> </w:t>
      </w:r>
      <w:r>
        <w:rPr>
          <w:color w:val="231F20"/>
          <w:w w:val="105"/>
        </w:rPr>
        <w:t>Report</w:t>
      </w:r>
      <w:r>
        <w:rPr>
          <w:color w:val="231F20"/>
          <w:spacing w:val="-8"/>
          <w:w w:val="105"/>
        </w:rPr>
        <w:t> </w:t>
      </w:r>
      <w:r>
        <w:rPr>
          <w:color w:val="231F20"/>
          <w:w w:val="105"/>
        </w:rPr>
        <w:t>of</w:t>
      </w:r>
      <w:r>
        <w:rPr>
          <w:color w:val="231F20"/>
          <w:spacing w:val="12"/>
          <w:w w:val="105"/>
        </w:rPr>
        <w:t> </w:t>
      </w:r>
      <w:r>
        <w:rPr>
          <w:color w:val="231F20"/>
          <w:spacing w:val="-3"/>
          <w:w w:val="105"/>
        </w:rPr>
        <w:t>Foreign</w:t>
      </w:r>
      <w:r>
        <w:rPr>
          <w:color w:val="231F20"/>
          <w:spacing w:val="-8"/>
          <w:w w:val="105"/>
        </w:rPr>
        <w:t> </w:t>
      </w:r>
      <w:r>
        <w:rPr>
          <w:color w:val="231F20"/>
          <w:w w:val="105"/>
        </w:rPr>
        <w:t>Private</w:t>
      </w:r>
      <w:r>
        <w:rPr>
          <w:color w:val="231F20"/>
          <w:spacing w:val="-8"/>
          <w:w w:val="105"/>
        </w:rPr>
        <w:t> </w:t>
      </w:r>
      <w:r>
        <w:rPr>
          <w:color w:val="231F20"/>
          <w:w w:val="105"/>
        </w:rPr>
        <w:t>Issuer</w:t>
      </w:r>
      <w:r>
        <w:rPr>
          <w:color w:val="231F20"/>
          <w:spacing w:val="-8"/>
          <w:w w:val="105"/>
        </w:rPr>
        <w:t> </w:t>
      </w:r>
      <w:r>
        <w:rPr>
          <w:color w:val="231F20"/>
          <w:w w:val="105"/>
        </w:rPr>
        <w:t>on</w:t>
      </w:r>
      <w:r>
        <w:rPr>
          <w:color w:val="231F20"/>
          <w:spacing w:val="-8"/>
          <w:w w:val="105"/>
        </w:rPr>
        <w:t> </w:t>
      </w:r>
      <w:r>
        <w:rPr>
          <w:color w:val="231F20"/>
          <w:spacing w:val="-3"/>
          <w:w w:val="105"/>
        </w:rPr>
        <w:t>Form</w:t>
      </w:r>
      <w:r>
        <w:rPr>
          <w:color w:val="231F20"/>
          <w:spacing w:val="-8"/>
          <w:w w:val="105"/>
        </w:rPr>
        <w:t> </w:t>
      </w:r>
      <w:r>
        <w:rPr>
          <w:color w:val="231F20"/>
          <w:w w:val="105"/>
        </w:rPr>
        <w:t>6-K</w:t>
      </w:r>
      <w:r>
        <w:rPr>
          <w:color w:val="231F20"/>
          <w:spacing w:val="-8"/>
          <w:w w:val="105"/>
        </w:rPr>
        <w:t> </w:t>
      </w:r>
      <w:r>
        <w:rPr>
          <w:color w:val="231F20"/>
          <w:w w:val="105"/>
        </w:rPr>
        <w:t>that</w:t>
      </w:r>
      <w:r>
        <w:rPr>
          <w:color w:val="231F20"/>
          <w:spacing w:val="-8"/>
          <w:w w:val="105"/>
        </w:rPr>
        <w:t> </w:t>
      </w:r>
      <w:r>
        <w:rPr>
          <w:color w:val="231F20"/>
          <w:w w:val="105"/>
        </w:rPr>
        <w:t>we</w:t>
      </w:r>
      <w:r>
        <w:rPr>
          <w:color w:val="231F20"/>
          <w:spacing w:val="-8"/>
          <w:w w:val="105"/>
        </w:rPr>
        <w:t> </w:t>
      </w:r>
      <w:r>
        <w:rPr>
          <w:color w:val="231F20"/>
          <w:w w:val="105"/>
        </w:rPr>
        <w:t>will</w:t>
      </w:r>
      <w:r>
        <w:rPr>
          <w:color w:val="231F20"/>
          <w:spacing w:val="-8"/>
          <w:w w:val="105"/>
        </w:rPr>
        <w:t> </w:t>
      </w:r>
      <w:r>
        <w:rPr>
          <w:color w:val="231F20"/>
          <w:w w:val="105"/>
        </w:rPr>
        <w:t>furnish</w:t>
      </w:r>
      <w:r>
        <w:rPr>
          <w:color w:val="231F20"/>
          <w:spacing w:val="-8"/>
          <w:w w:val="105"/>
        </w:rPr>
        <w:t> </w:t>
      </w:r>
      <w:r>
        <w:rPr>
          <w:color w:val="231F20"/>
          <w:w w:val="105"/>
        </w:rPr>
        <w:t>to</w:t>
      </w:r>
      <w:r>
        <w:rPr>
          <w:color w:val="231F20"/>
          <w:spacing w:val="-8"/>
          <w:w w:val="105"/>
        </w:rPr>
        <w:t> </w:t>
      </w:r>
      <w:r>
        <w:rPr>
          <w:color w:val="231F20"/>
          <w:w w:val="105"/>
        </w:rPr>
        <w:t>the</w:t>
      </w:r>
      <w:r>
        <w:rPr>
          <w:color w:val="231F20"/>
          <w:spacing w:val="-8"/>
          <w:w w:val="105"/>
        </w:rPr>
        <w:t> </w:t>
      </w:r>
      <w:r>
        <w:rPr>
          <w:color w:val="231F20"/>
          <w:w w:val="105"/>
        </w:rPr>
        <w:t>SEC.</w:t>
      </w:r>
    </w:p>
    <w:p>
      <w:pPr>
        <w:spacing w:after="0" w:line="249" w:lineRule="auto"/>
        <w:sectPr>
          <w:pgSz w:w="11880" w:h="15480"/>
          <w:pgMar w:header="0" w:footer="664" w:top="940" w:bottom="860" w:left="300" w:right="0"/>
        </w:sectPr>
      </w:pPr>
    </w:p>
    <w:p>
      <w:pPr>
        <w:pStyle w:val="Heading2"/>
        <w:spacing w:before="87"/>
        <w:ind w:left="1720" w:right="2017"/>
        <w:jc w:val="center"/>
      </w:pPr>
      <w:r>
        <w:rPr>
          <w:color w:val="231F20"/>
        </w:rPr>
        <w:t>SOLICITATION OF PROXIES</w:t>
      </w:r>
    </w:p>
    <w:p>
      <w:pPr>
        <w:pStyle w:val="BodyText"/>
        <w:spacing w:before="8"/>
        <w:rPr>
          <w:b/>
          <w:sz w:val="21"/>
        </w:rPr>
      </w:pPr>
    </w:p>
    <w:p>
      <w:pPr>
        <w:spacing w:line="249" w:lineRule="auto" w:before="0"/>
        <w:ind w:left="1489" w:right="1322" w:hanging="400"/>
        <w:jc w:val="left"/>
        <w:rPr>
          <w:b/>
          <w:sz w:val="20"/>
        </w:rPr>
      </w:pPr>
      <w:r>
        <w:rPr>
          <w:b/>
          <w:color w:val="231F20"/>
          <w:sz w:val="20"/>
        </w:rPr>
        <w:t>Q:</w:t>
      </w:r>
      <w:r>
        <w:rPr>
          <w:b/>
          <w:color w:val="231F20"/>
          <w:spacing w:val="15"/>
          <w:sz w:val="20"/>
        </w:rPr>
        <w:t> </w:t>
      </w:r>
      <w:r>
        <w:rPr>
          <w:b/>
          <w:color w:val="231F20"/>
          <w:sz w:val="20"/>
        </w:rPr>
        <w:t>Who</w:t>
      </w:r>
      <w:r>
        <w:rPr>
          <w:b/>
          <w:color w:val="231F20"/>
          <w:spacing w:val="-19"/>
          <w:sz w:val="20"/>
        </w:rPr>
        <w:t> </w:t>
      </w:r>
      <w:r>
        <w:rPr>
          <w:b/>
          <w:color w:val="231F20"/>
          <w:sz w:val="20"/>
        </w:rPr>
        <w:t>will</w:t>
      </w:r>
      <w:r>
        <w:rPr>
          <w:b/>
          <w:color w:val="231F20"/>
          <w:spacing w:val="-18"/>
          <w:sz w:val="20"/>
        </w:rPr>
        <w:t> </w:t>
      </w:r>
      <w:r>
        <w:rPr>
          <w:b/>
          <w:color w:val="231F20"/>
          <w:sz w:val="20"/>
        </w:rPr>
        <w:t>bear</w:t>
      </w:r>
      <w:r>
        <w:rPr>
          <w:b/>
          <w:color w:val="231F20"/>
          <w:spacing w:val="-19"/>
          <w:sz w:val="20"/>
        </w:rPr>
        <w:t> </w:t>
      </w:r>
      <w:r>
        <w:rPr>
          <w:b/>
          <w:color w:val="231F20"/>
          <w:sz w:val="20"/>
        </w:rPr>
        <w:t>the</w:t>
      </w:r>
      <w:r>
        <w:rPr>
          <w:b/>
          <w:color w:val="231F20"/>
          <w:spacing w:val="-19"/>
          <w:sz w:val="20"/>
        </w:rPr>
        <w:t> </w:t>
      </w:r>
      <w:r>
        <w:rPr>
          <w:b/>
          <w:color w:val="231F20"/>
          <w:sz w:val="20"/>
        </w:rPr>
        <w:t>costs</w:t>
      </w:r>
      <w:r>
        <w:rPr>
          <w:b/>
          <w:color w:val="231F20"/>
          <w:spacing w:val="-18"/>
          <w:sz w:val="20"/>
        </w:rPr>
        <w:t> </w:t>
      </w:r>
      <w:r>
        <w:rPr>
          <w:b/>
          <w:color w:val="231F20"/>
          <w:sz w:val="20"/>
        </w:rPr>
        <w:t>of</w:t>
      </w:r>
      <w:r>
        <w:rPr>
          <w:b/>
          <w:color w:val="231F20"/>
          <w:spacing w:val="-9"/>
          <w:sz w:val="20"/>
        </w:rPr>
        <w:t> </w:t>
      </w:r>
      <w:r>
        <w:rPr>
          <w:b/>
          <w:color w:val="231F20"/>
          <w:sz w:val="20"/>
        </w:rPr>
        <w:t>solicitation</w:t>
      </w:r>
      <w:r>
        <w:rPr>
          <w:b/>
          <w:color w:val="231F20"/>
          <w:spacing w:val="-19"/>
          <w:sz w:val="20"/>
        </w:rPr>
        <w:t> </w:t>
      </w:r>
      <w:r>
        <w:rPr>
          <w:b/>
          <w:color w:val="231F20"/>
          <w:sz w:val="20"/>
        </w:rPr>
        <w:t>of</w:t>
      </w:r>
      <w:r>
        <w:rPr>
          <w:b/>
          <w:color w:val="231F20"/>
          <w:spacing w:val="-9"/>
          <w:sz w:val="20"/>
        </w:rPr>
        <w:t> </w:t>
      </w:r>
      <w:r>
        <w:rPr>
          <w:b/>
          <w:color w:val="231F20"/>
          <w:sz w:val="20"/>
        </w:rPr>
        <w:t>proxies</w:t>
      </w:r>
      <w:r>
        <w:rPr>
          <w:b/>
          <w:color w:val="231F20"/>
          <w:spacing w:val="-19"/>
          <w:sz w:val="20"/>
        </w:rPr>
        <w:t> </w:t>
      </w:r>
      <w:r>
        <w:rPr>
          <w:b/>
          <w:color w:val="231F20"/>
          <w:sz w:val="20"/>
        </w:rPr>
        <w:t>and</w:t>
      </w:r>
      <w:r>
        <w:rPr>
          <w:b/>
          <w:color w:val="231F20"/>
          <w:spacing w:val="-18"/>
          <w:sz w:val="20"/>
        </w:rPr>
        <w:t> </w:t>
      </w:r>
      <w:r>
        <w:rPr>
          <w:b/>
          <w:color w:val="231F20"/>
          <w:sz w:val="20"/>
        </w:rPr>
        <w:t>voting</w:t>
      </w:r>
      <w:r>
        <w:rPr>
          <w:b/>
          <w:color w:val="231F20"/>
          <w:spacing w:val="-19"/>
          <w:sz w:val="20"/>
        </w:rPr>
        <w:t> </w:t>
      </w:r>
      <w:r>
        <w:rPr>
          <w:b/>
          <w:color w:val="231F20"/>
          <w:sz w:val="20"/>
        </w:rPr>
        <w:t>instruction</w:t>
      </w:r>
      <w:r>
        <w:rPr>
          <w:b/>
          <w:color w:val="231F20"/>
          <w:spacing w:val="-18"/>
          <w:sz w:val="20"/>
        </w:rPr>
        <w:t> </w:t>
      </w:r>
      <w:r>
        <w:rPr>
          <w:b/>
          <w:color w:val="231F20"/>
          <w:sz w:val="20"/>
        </w:rPr>
        <w:t>forms</w:t>
      </w:r>
      <w:r>
        <w:rPr>
          <w:b/>
          <w:color w:val="231F20"/>
          <w:spacing w:val="-19"/>
          <w:sz w:val="20"/>
        </w:rPr>
        <w:t> </w:t>
      </w:r>
      <w:r>
        <w:rPr>
          <w:b/>
          <w:color w:val="231F20"/>
          <w:sz w:val="20"/>
        </w:rPr>
        <w:t>for</w:t>
      </w:r>
      <w:r>
        <w:rPr>
          <w:b/>
          <w:color w:val="231F20"/>
          <w:spacing w:val="-19"/>
          <w:sz w:val="20"/>
        </w:rPr>
        <w:t> </w:t>
      </w:r>
      <w:r>
        <w:rPr>
          <w:b/>
          <w:color w:val="231F20"/>
          <w:sz w:val="20"/>
        </w:rPr>
        <w:t>the</w:t>
      </w:r>
      <w:r>
        <w:rPr>
          <w:b/>
          <w:color w:val="231F20"/>
          <w:spacing w:val="-18"/>
          <w:sz w:val="20"/>
        </w:rPr>
        <w:t> </w:t>
      </w:r>
      <w:r>
        <w:rPr>
          <w:b/>
          <w:color w:val="231F20"/>
          <w:sz w:val="20"/>
        </w:rPr>
        <w:t>Annual</w:t>
      </w:r>
      <w:r>
        <w:rPr>
          <w:b/>
          <w:color w:val="231F20"/>
          <w:spacing w:val="-19"/>
          <w:sz w:val="20"/>
        </w:rPr>
        <w:t> </w:t>
      </w:r>
      <w:r>
        <w:rPr>
          <w:b/>
          <w:color w:val="231F20"/>
          <w:sz w:val="20"/>
        </w:rPr>
        <w:t>General Meeting?</w:t>
      </w:r>
    </w:p>
    <w:p>
      <w:pPr>
        <w:pStyle w:val="BodyText"/>
        <w:spacing w:line="249" w:lineRule="auto" w:before="160"/>
        <w:ind w:left="1489" w:right="1386" w:hanging="400"/>
      </w:pPr>
      <w:r>
        <w:rPr>
          <w:color w:val="231F20"/>
          <w:w w:val="105"/>
        </w:rPr>
        <w:t>A:  The Company will bear the costs of  solicitation of  proxies and voting instruction forms </w:t>
      </w:r>
      <w:r>
        <w:rPr>
          <w:color w:val="231F20"/>
          <w:spacing w:val="-3"/>
          <w:w w:val="105"/>
        </w:rPr>
        <w:t>for </w:t>
      </w:r>
      <w:r>
        <w:rPr>
          <w:color w:val="231F20"/>
          <w:w w:val="105"/>
        </w:rPr>
        <w:t>the Meeting. In addition to solicitation by mail, directors, officers and employees of the Company </w:t>
      </w:r>
      <w:r>
        <w:rPr>
          <w:color w:val="231F20"/>
          <w:spacing w:val="-3"/>
          <w:w w:val="105"/>
        </w:rPr>
        <w:t>may </w:t>
      </w:r>
      <w:r>
        <w:rPr>
          <w:color w:val="231F20"/>
          <w:w w:val="105"/>
        </w:rPr>
        <w:t>solicit proxies and voting instruction forms from shareholders by telephone, personal interview or otherwise. Such directors, officers and employees will not receive additional compensation, but </w:t>
      </w:r>
      <w:r>
        <w:rPr>
          <w:color w:val="231F20"/>
          <w:spacing w:val="-3"/>
          <w:w w:val="105"/>
        </w:rPr>
        <w:t>may </w:t>
      </w:r>
      <w:r>
        <w:rPr>
          <w:color w:val="231F20"/>
          <w:w w:val="105"/>
        </w:rPr>
        <w:t>be reimbursed </w:t>
      </w:r>
      <w:r>
        <w:rPr>
          <w:color w:val="231F20"/>
          <w:spacing w:val="-3"/>
          <w:w w:val="105"/>
        </w:rPr>
        <w:t>for </w:t>
      </w:r>
      <w:r>
        <w:rPr>
          <w:color w:val="231F20"/>
          <w:w w:val="105"/>
        </w:rPr>
        <w:t>reasonable out-of-pocket expenses in connection with such solicitation. </w:t>
      </w:r>
      <w:r>
        <w:rPr>
          <w:color w:val="231F20"/>
          <w:spacing w:val="-3"/>
          <w:w w:val="105"/>
        </w:rPr>
        <w:t>Brokers, </w:t>
      </w:r>
      <w:r>
        <w:rPr>
          <w:color w:val="231F20"/>
          <w:w w:val="105"/>
        </w:rPr>
        <w:t>nominees, fiduciaries and other custodians </w:t>
      </w:r>
      <w:r>
        <w:rPr>
          <w:color w:val="231F20"/>
          <w:spacing w:val="-5"/>
          <w:w w:val="105"/>
        </w:rPr>
        <w:t>have </w:t>
      </w:r>
      <w:r>
        <w:rPr>
          <w:color w:val="231F20"/>
          <w:w w:val="105"/>
        </w:rPr>
        <w:t>been requested to </w:t>
      </w:r>
      <w:r>
        <w:rPr>
          <w:color w:val="231F20"/>
          <w:spacing w:val="-3"/>
          <w:w w:val="105"/>
        </w:rPr>
        <w:t>forward </w:t>
      </w:r>
      <w:r>
        <w:rPr>
          <w:color w:val="231F20"/>
          <w:w w:val="105"/>
        </w:rPr>
        <w:t>soliciting material to the beneficial owners of ordinary shares held of record by them, and such custodians will be reimbursed by the Company </w:t>
      </w:r>
      <w:r>
        <w:rPr>
          <w:color w:val="231F20"/>
          <w:spacing w:val="-3"/>
          <w:w w:val="105"/>
        </w:rPr>
        <w:t>for </w:t>
      </w:r>
      <w:r>
        <w:rPr>
          <w:color w:val="231F20"/>
          <w:w w:val="105"/>
        </w:rPr>
        <w:t>their reasonable out-of-pocket expenses. The Company </w:t>
      </w:r>
      <w:r>
        <w:rPr>
          <w:color w:val="231F20"/>
          <w:spacing w:val="-3"/>
          <w:w w:val="105"/>
        </w:rPr>
        <w:t>may also </w:t>
      </w:r>
      <w:r>
        <w:rPr>
          <w:color w:val="231F20"/>
          <w:w w:val="105"/>
        </w:rPr>
        <w:t>retain an independent advisor to assist in the solicitation of </w:t>
      </w:r>
      <w:r>
        <w:rPr>
          <w:color w:val="231F20"/>
          <w:spacing w:val="-4"/>
          <w:w w:val="105"/>
        </w:rPr>
        <w:t>proxies. </w:t>
      </w:r>
      <w:r>
        <w:rPr>
          <w:color w:val="231F20"/>
          <w:w w:val="105"/>
        </w:rPr>
        <w:t>If  retained </w:t>
      </w:r>
      <w:r>
        <w:rPr>
          <w:color w:val="231F20"/>
          <w:spacing w:val="-3"/>
          <w:w w:val="105"/>
        </w:rPr>
        <w:t>for </w:t>
      </w:r>
      <w:r>
        <w:rPr>
          <w:color w:val="231F20"/>
          <w:w w:val="105"/>
        </w:rPr>
        <w:t>such services, the costs will be paid by the</w:t>
      </w:r>
      <w:r>
        <w:rPr>
          <w:color w:val="231F20"/>
          <w:spacing w:val="-13"/>
          <w:w w:val="105"/>
        </w:rPr>
        <w:t> </w:t>
      </w:r>
      <w:r>
        <w:rPr>
          <w:color w:val="231F20"/>
          <w:spacing w:val="-4"/>
          <w:w w:val="105"/>
        </w:rPr>
        <w:t>Company.</w:t>
      </w:r>
    </w:p>
    <w:p>
      <w:pPr>
        <w:pStyle w:val="BodyText"/>
        <w:rPr>
          <w:sz w:val="12"/>
        </w:rPr>
      </w:pPr>
    </w:p>
    <w:p>
      <w:pPr>
        <w:pStyle w:val="Heading2"/>
        <w:spacing w:before="104"/>
        <w:ind w:left="1721" w:right="2017"/>
        <w:jc w:val="center"/>
      </w:pPr>
      <w:r>
        <w:rPr>
          <w:color w:val="231F20"/>
          <w:spacing w:val="-5"/>
        </w:rPr>
        <w:t>AVAILABILITY </w:t>
      </w:r>
      <w:r>
        <w:rPr>
          <w:color w:val="231F20"/>
        </w:rPr>
        <w:t>OF </w:t>
      </w:r>
      <w:r>
        <w:rPr>
          <w:color w:val="231F20"/>
          <w:spacing w:val="-5"/>
        </w:rPr>
        <w:t>PROXY</w:t>
      </w:r>
      <w:r>
        <w:rPr>
          <w:color w:val="231F20"/>
          <w:spacing w:val="33"/>
        </w:rPr>
        <w:t> </w:t>
      </w:r>
      <w:r>
        <w:rPr>
          <w:color w:val="231F20"/>
        </w:rPr>
        <w:t>MATERIALS</w:t>
      </w:r>
    </w:p>
    <w:p>
      <w:pPr>
        <w:pStyle w:val="BodyText"/>
        <w:spacing w:line="249" w:lineRule="auto" w:before="170"/>
        <w:ind w:left="1090" w:right="1832" w:firstLine="399"/>
      </w:pPr>
      <w:r>
        <w:rPr>
          <w:color w:val="231F20"/>
          <w:w w:val="110"/>
        </w:rPr>
        <w:t>Copies</w:t>
      </w:r>
      <w:r>
        <w:rPr>
          <w:color w:val="231F20"/>
          <w:spacing w:val="-22"/>
          <w:w w:val="110"/>
        </w:rPr>
        <w:t> </w:t>
      </w:r>
      <w:r>
        <w:rPr>
          <w:color w:val="231F20"/>
          <w:w w:val="110"/>
        </w:rPr>
        <w:t>of</w:t>
      </w:r>
      <w:r>
        <w:rPr>
          <w:color w:val="231F20"/>
          <w:spacing w:val="-10"/>
          <w:w w:val="110"/>
        </w:rPr>
        <w:t> </w:t>
      </w:r>
      <w:r>
        <w:rPr>
          <w:color w:val="231F20"/>
          <w:w w:val="110"/>
        </w:rPr>
        <w:t>the</w:t>
      </w:r>
      <w:r>
        <w:rPr>
          <w:color w:val="231F20"/>
          <w:spacing w:val="-21"/>
          <w:w w:val="110"/>
        </w:rPr>
        <w:t> </w:t>
      </w:r>
      <w:r>
        <w:rPr>
          <w:color w:val="231F20"/>
          <w:w w:val="110"/>
        </w:rPr>
        <w:t>Notice</w:t>
      </w:r>
      <w:r>
        <w:rPr>
          <w:color w:val="231F20"/>
          <w:spacing w:val="-22"/>
          <w:w w:val="110"/>
        </w:rPr>
        <w:t> </w:t>
      </w:r>
      <w:r>
        <w:rPr>
          <w:color w:val="231F20"/>
          <w:w w:val="110"/>
        </w:rPr>
        <w:t>of</w:t>
      </w:r>
      <w:r>
        <w:rPr>
          <w:color w:val="231F20"/>
          <w:spacing w:val="-9"/>
          <w:w w:val="110"/>
        </w:rPr>
        <w:t> </w:t>
      </w:r>
      <w:r>
        <w:rPr>
          <w:color w:val="231F20"/>
          <w:w w:val="110"/>
        </w:rPr>
        <w:t>the</w:t>
      </w:r>
      <w:r>
        <w:rPr>
          <w:color w:val="231F20"/>
          <w:spacing w:val="-22"/>
          <w:w w:val="110"/>
        </w:rPr>
        <w:t> </w:t>
      </w:r>
      <w:r>
        <w:rPr>
          <w:color w:val="231F20"/>
          <w:spacing w:val="-3"/>
          <w:w w:val="110"/>
        </w:rPr>
        <w:t>Annual</w:t>
      </w:r>
      <w:r>
        <w:rPr>
          <w:color w:val="231F20"/>
          <w:spacing w:val="-22"/>
          <w:w w:val="110"/>
        </w:rPr>
        <w:t> </w:t>
      </w:r>
      <w:r>
        <w:rPr>
          <w:color w:val="231F20"/>
          <w:w w:val="110"/>
        </w:rPr>
        <w:t>General</w:t>
      </w:r>
      <w:r>
        <w:rPr>
          <w:color w:val="231F20"/>
          <w:spacing w:val="-22"/>
          <w:w w:val="110"/>
        </w:rPr>
        <w:t> </w:t>
      </w:r>
      <w:r>
        <w:rPr>
          <w:color w:val="231F20"/>
          <w:w w:val="110"/>
        </w:rPr>
        <w:t>Meeting,</w:t>
      </w:r>
      <w:r>
        <w:rPr>
          <w:color w:val="231F20"/>
          <w:spacing w:val="-22"/>
          <w:w w:val="110"/>
        </w:rPr>
        <w:t> </w:t>
      </w:r>
      <w:r>
        <w:rPr>
          <w:color w:val="231F20"/>
          <w:w w:val="110"/>
        </w:rPr>
        <w:t>this</w:t>
      </w:r>
      <w:r>
        <w:rPr>
          <w:color w:val="231F20"/>
          <w:spacing w:val="-22"/>
          <w:w w:val="110"/>
        </w:rPr>
        <w:t> </w:t>
      </w:r>
      <w:r>
        <w:rPr>
          <w:color w:val="231F20"/>
          <w:spacing w:val="-3"/>
          <w:w w:val="110"/>
        </w:rPr>
        <w:t>Proxy</w:t>
      </w:r>
      <w:r>
        <w:rPr>
          <w:color w:val="231F20"/>
          <w:spacing w:val="-22"/>
          <w:w w:val="110"/>
        </w:rPr>
        <w:t> </w:t>
      </w:r>
      <w:r>
        <w:rPr>
          <w:color w:val="231F20"/>
          <w:w w:val="110"/>
        </w:rPr>
        <w:t>Statement,</w:t>
      </w:r>
      <w:r>
        <w:rPr>
          <w:color w:val="231F20"/>
          <w:spacing w:val="-22"/>
          <w:w w:val="110"/>
        </w:rPr>
        <w:t> </w:t>
      </w:r>
      <w:r>
        <w:rPr>
          <w:color w:val="231F20"/>
          <w:w w:val="110"/>
        </w:rPr>
        <w:t>the</w:t>
      </w:r>
      <w:r>
        <w:rPr>
          <w:color w:val="231F20"/>
          <w:spacing w:val="-22"/>
          <w:w w:val="110"/>
        </w:rPr>
        <w:t> </w:t>
      </w:r>
      <w:r>
        <w:rPr>
          <w:color w:val="231F20"/>
          <w:w w:val="110"/>
        </w:rPr>
        <w:t>voting</w:t>
      </w:r>
      <w:r>
        <w:rPr>
          <w:color w:val="231F20"/>
          <w:spacing w:val="-22"/>
          <w:w w:val="110"/>
        </w:rPr>
        <w:t> </w:t>
      </w:r>
      <w:r>
        <w:rPr>
          <w:color w:val="231F20"/>
          <w:w w:val="110"/>
        </w:rPr>
        <w:t>instruction form</w:t>
      </w:r>
      <w:r>
        <w:rPr>
          <w:color w:val="231F20"/>
          <w:spacing w:val="-9"/>
          <w:w w:val="110"/>
        </w:rPr>
        <w:t> </w:t>
      </w:r>
      <w:r>
        <w:rPr>
          <w:color w:val="231F20"/>
          <w:w w:val="110"/>
        </w:rPr>
        <w:t>and</w:t>
      </w:r>
      <w:r>
        <w:rPr>
          <w:color w:val="231F20"/>
          <w:spacing w:val="-9"/>
          <w:w w:val="110"/>
        </w:rPr>
        <w:t> </w:t>
      </w:r>
      <w:r>
        <w:rPr>
          <w:color w:val="231F20"/>
          <w:w w:val="110"/>
        </w:rPr>
        <w:t>the</w:t>
      </w:r>
      <w:r>
        <w:rPr>
          <w:color w:val="231F20"/>
          <w:spacing w:val="-9"/>
          <w:w w:val="110"/>
        </w:rPr>
        <w:t> </w:t>
      </w:r>
      <w:r>
        <w:rPr>
          <w:color w:val="231F20"/>
          <w:w w:val="110"/>
        </w:rPr>
        <w:t>Ballot</w:t>
      </w:r>
      <w:r>
        <w:rPr>
          <w:color w:val="231F20"/>
          <w:spacing w:val="-8"/>
          <w:w w:val="110"/>
        </w:rPr>
        <w:t> </w:t>
      </w:r>
      <w:r>
        <w:rPr>
          <w:color w:val="231F20"/>
          <w:w w:val="110"/>
        </w:rPr>
        <w:t>are</w:t>
      </w:r>
      <w:r>
        <w:rPr>
          <w:color w:val="231F20"/>
          <w:spacing w:val="-9"/>
          <w:w w:val="110"/>
        </w:rPr>
        <w:t> </w:t>
      </w:r>
      <w:r>
        <w:rPr>
          <w:color w:val="231F20"/>
          <w:spacing w:val="-4"/>
          <w:w w:val="110"/>
        </w:rPr>
        <w:t>available</w:t>
      </w:r>
      <w:r>
        <w:rPr>
          <w:color w:val="231F20"/>
          <w:spacing w:val="-9"/>
          <w:w w:val="110"/>
        </w:rPr>
        <w:t> </w:t>
      </w:r>
      <w:r>
        <w:rPr>
          <w:color w:val="231F20"/>
          <w:spacing w:val="-3"/>
          <w:w w:val="110"/>
        </w:rPr>
        <w:t>at</w:t>
      </w:r>
      <w:r>
        <w:rPr>
          <w:color w:val="231F20"/>
          <w:spacing w:val="-8"/>
          <w:w w:val="110"/>
        </w:rPr>
        <w:t> </w:t>
      </w:r>
      <w:r>
        <w:rPr>
          <w:color w:val="231F20"/>
          <w:w w:val="110"/>
        </w:rPr>
        <w:t>the</w:t>
      </w:r>
      <w:r>
        <w:rPr>
          <w:color w:val="231F20"/>
          <w:spacing w:val="-9"/>
          <w:w w:val="110"/>
        </w:rPr>
        <w:t> </w:t>
      </w:r>
      <w:r>
        <w:rPr>
          <w:color w:val="231F20"/>
          <w:w w:val="110"/>
        </w:rPr>
        <w:t>“Investors”</w:t>
      </w:r>
      <w:r>
        <w:rPr>
          <w:color w:val="231F20"/>
          <w:spacing w:val="-19"/>
          <w:w w:val="110"/>
        </w:rPr>
        <w:t> </w:t>
      </w:r>
      <w:r>
        <w:rPr>
          <w:color w:val="231F20"/>
          <w:w w:val="110"/>
        </w:rPr>
        <w:t>portion</w:t>
      </w:r>
      <w:r>
        <w:rPr>
          <w:color w:val="231F20"/>
          <w:spacing w:val="-9"/>
          <w:w w:val="110"/>
        </w:rPr>
        <w:t> </w:t>
      </w:r>
      <w:r>
        <w:rPr>
          <w:color w:val="231F20"/>
          <w:w w:val="110"/>
        </w:rPr>
        <w:t>of</w:t>
      </w:r>
      <w:r>
        <w:rPr>
          <w:color w:val="231F20"/>
          <w:spacing w:val="10"/>
          <w:w w:val="110"/>
        </w:rPr>
        <w:t> </w:t>
      </w:r>
      <w:r>
        <w:rPr>
          <w:color w:val="231F20"/>
          <w:w w:val="110"/>
        </w:rPr>
        <w:t>our</w:t>
      </w:r>
      <w:r>
        <w:rPr>
          <w:color w:val="231F20"/>
          <w:spacing w:val="-9"/>
          <w:w w:val="110"/>
        </w:rPr>
        <w:t> </w:t>
      </w:r>
      <w:r>
        <w:rPr>
          <w:color w:val="231F20"/>
          <w:w w:val="110"/>
        </w:rPr>
        <w:t>website</w:t>
      </w:r>
      <w:r>
        <w:rPr>
          <w:color w:val="231F20"/>
          <w:spacing w:val="-9"/>
          <w:w w:val="110"/>
        </w:rPr>
        <w:t> </w:t>
      </w:r>
      <w:r>
        <w:rPr>
          <w:color w:val="231F20"/>
          <w:spacing w:val="-3"/>
          <w:w w:val="110"/>
        </w:rPr>
        <w:t>at</w:t>
      </w:r>
    </w:p>
    <w:p>
      <w:pPr>
        <w:pStyle w:val="BodyText"/>
        <w:spacing w:line="249" w:lineRule="auto"/>
        <w:ind w:left="1090" w:right="1553"/>
      </w:pPr>
      <w:hyperlink r:id="rId15">
        <w:r>
          <w:rPr>
            <w:color w:val="231F20"/>
            <w:w w:val="105"/>
          </w:rPr>
          <w:t>https://ww</w:t>
        </w:r>
      </w:hyperlink>
      <w:r>
        <w:rPr>
          <w:color w:val="231F20"/>
          <w:w w:val="105"/>
        </w:rPr>
        <w:t>w.shl-te</w:t>
      </w:r>
      <w:hyperlink r:id="rId15">
        <w:r>
          <w:rPr>
            <w:color w:val="231F20"/>
            <w:w w:val="105"/>
          </w:rPr>
          <w:t>lemedicine.com/general-meeting/. </w:t>
        </w:r>
      </w:hyperlink>
      <w:r>
        <w:rPr>
          <w:color w:val="231F20"/>
          <w:w w:val="105"/>
        </w:rPr>
        <w:t>The contents of that website are not a part of this Proxy Statement.</w:t>
      </w:r>
    </w:p>
    <w:p>
      <w:pPr>
        <w:pStyle w:val="BodyText"/>
        <w:spacing w:before="9"/>
        <w:rPr>
          <w:sz w:val="11"/>
        </w:rPr>
      </w:pPr>
    </w:p>
    <w:p>
      <w:pPr>
        <w:pStyle w:val="Heading2"/>
        <w:spacing w:before="105"/>
        <w:ind w:left="1720" w:right="2017"/>
        <w:jc w:val="center"/>
      </w:pPr>
      <w:r>
        <w:rPr>
          <w:color w:val="231F20"/>
          <w:w w:val="105"/>
        </w:rPr>
        <w:t>SHARES OUTSTANDING</w:t>
      </w:r>
    </w:p>
    <w:p>
      <w:pPr>
        <w:pStyle w:val="BodyText"/>
        <w:spacing w:line="249" w:lineRule="auto" w:before="169"/>
        <w:ind w:left="1090" w:right="1322" w:firstLine="399"/>
      </w:pPr>
      <w:r>
        <w:rPr>
          <w:color w:val="231F20"/>
          <w:w w:val="105"/>
        </w:rPr>
        <w:t>As of December 26, 2023, we had 16,392,754 ordinary shares outstanding (which includes ordinary shares underlying the ADSs outstanding as of such date). SIX SIS AG acts as a nominee on behalf of any person registered in the share register maintained by Computershare with respect to shares traded on the SIX Swiss Exchange Ltd. (the “</w:t>
      </w:r>
      <w:r>
        <w:rPr>
          <w:b/>
          <w:color w:val="231F20"/>
          <w:w w:val="105"/>
        </w:rPr>
        <w:t>SIX</w:t>
      </w:r>
      <w:r>
        <w:rPr>
          <w:color w:val="231F20"/>
          <w:w w:val="105"/>
        </w:rPr>
        <w:t>”), and Computershare serves as the share register for our ordinary shares.</w:t>
      </w:r>
    </w:p>
    <w:p>
      <w:pPr>
        <w:spacing w:after="0" w:line="249" w:lineRule="auto"/>
        <w:sectPr>
          <w:pgSz w:w="11880" w:h="15480"/>
          <w:pgMar w:header="0" w:footer="664" w:top="940" w:bottom="860" w:left="300" w:right="0"/>
        </w:sectPr>
      </w:pPr>
    </w:p>
    <w:p>
      <w:pPr>
        <w:pStyle w:val="Heading2"/>
        <w:spacing w:before="87"/>
        <w:ind w:left="1720" w:right="2017"/>
        <w:jc w:val="center"/>
      </w:pPr>
      <w:r>
        <w:rPr>
          <w:color w:val="231F20"/>
        </w:rPr>
        <w:t>SECURITY OWNERSHIP OF</w:t>
      </w:r>
    </w:p>
    <w:p>
      <w:pPr>
        <w:spacing w:before="6"/>
        <w:ind w:left="1721" w:right="2017" w:firstLine="0"/>
        <w:jc w:val="center"/>
        <w:rPr>
          <w:b/>
          <w:sz w:val="20"/>
        </w:rPr>
      </w:pPr>
      <w:r>
        <w:rPr>
          <w:b/>
          <w:color w:val="231F20"/>
          <w:sz w:val="20"/>
        </w:rPr>
        <w:t>CERTAIN BENEFICIAL OWNERS AND MANAGEMENT</w:t>
      </w:r>
    </w:p>
    <w:p>
      <w:pPr>
        <w:pStyle w:val="BodyText"/>
        <w:spacing w:line="244" w:lineRule="auto" w:before="169"/>
        <w:ind w:left="1090" w:right="1429" w:firstLine="399"/>
      </w:pPr>
      <w:r>
        <w:rPr>
          <w:color w:val="231F20"/>
          <w:w w:val="110"/>
        </w:rPr>
        <w:t>The</w:t>
      </w:r>
      <w:r>
        <w:rPr>
          <w:color w:val="231F20"/>
          <w:spacing w:val="-29"/>
          <w:w w:val="110"/>
        </w:rPr>
        <w:t> </w:t>
      </w:r>
      <w:r>
        <w:rPr>
          <w:color w:val="231F20"/>
          <w:w w:val="110"/>
        </w:rPr>
        <w:t>following</w:t>
      </w:r>
      <w:r>
        <w:rPr>
          <w:color w:val="231F20"/>
          <w:spacing w:val="-28"/>
          <w:w w:val="110"/>
        </w:rPr>
        <w:t> </w:t>
      </w:r>
      <w:r>
        <w:rPr>
          <w:color w:val="231F20"/>
          <w:spacing w:val="-3"/>
          <w:w w:val="110"/>
        </w:rPr>
        <w:t>table</w:t>
      </w:r>
      <w:r>
        <w:rPr>
          <w:color w:val="231F20"/>
          <w:spacing w:val="-28"/>
          <w:w w:val="110"/>
        </w:rPr>
        <w:t> </w:t>
      </w:r>
      <w:r>
        <w:rPr>
          <w:color w:val="231F20"/>
          <w:w w:val="110"/>
        </w:rPr>
        <w:t>sets</w:t>
      </w:r>
      <w:r>
        <w:rPr>
          <w:color w:val="231F20"/>
          <w:spacing w:val="-28"/>
          <w:w w:val="110"/>
        </w:rPr>
        <w:t> </w:t>
      </w:r>
      <w:r>
        <w:rPr>
          <w:color w:val="231F20"/>
          <w:w w:val="110"/>
        </w:rPr>
        <w:t>forth</w:t>
      </w:r>
      <w:r>
        <w:rPr>
          <w:color w:val="231F20"/>
          <w:spacing w:val="-29"/>
          <w:w w:val="110"/>
        </w:rPr>
        <w:t> </w:t>
      </w:r>
      <w:r>
        <w:rPr>
          <w:color w:val="231F20"/>
          <w:w w:val="110"/>
        </w:rPr>
        <w:t>information</w:t>
      </w:r>
      <w:r>
        <w:rPr>
          <w:color w:val="231F20"/>
          <w:spacing w:val="-28"/>
          <w:w w:val="110"/>
        </w:rPr>
        <w:t> </w:t>
      </w:r>
      <w:r>
        <w:rPr>
          <w:color w:val="231F20"/>
          <w:w w:val="110"/>
        </w:rPr>
        <w:t>regarding</w:t>
      </w:r>
      <w:r>
        <w:rPr>
          <w:color w:val="231F20"/>
          <w:spacing w:val="-28"/>
          <w:w w:val="110"/>
        </w:rPr>
        <w:t> </w:t>
      </w:r>
      <w:r>
        <w:rPr>
          <w:color w:val="231F20"/>
          <w:w w:val="110"/>
        </w:rPr>
        <w:t>the</w:t>
      </w:r>
      <w:r>
        <w:rPr>
          <w:color w:val="231F20"/>
          <w:spacing w:val="-28"/>
          <w:w w:val="110"/>
        </w:rPr>
        <w:t> </w:t>
      </w:r>
      <w:r>
        <w:rPr>
          <w:color w:val="231F20"/>
          <w:w w:val="110"/>
        </w:rPr>
        <w:t>beneficial</w:t>
      </w:r>
      <w:r>
        <w:rPr>
          <w:color w:val="231F20"/>
          <w:spacing w:val="-28"/>
          <w:w w:val="110"/>
        </w:rPr>
        <w:t> </w:t>
      </w:r>
      <w:r>
        <w:rPr>
          <w:color w:val="231F20"/>
          <w:w w:val="110"/>
        </w:rPr>
        <w:t>ownership</w:t>
      </w:r>
      <w:r>
        <w:rPr>
          <w:color w:val="231F20"/>
          <w:spacing w:val="-29"/>
          <w:w w:val="110"/>
        </w:rPr>
        <w:t> </w:t>
      </w:r>
      <w:r>
        <w:rPr>
          <w:color w:val="231F20"/>
          <w:w w:val="110"/>
        </w:rPr>
        <w:t>of</w:t>
      </w:r>
      <w:r>
        <w:rPr>
          <w:color w:val="231F20"/>
          <w:spacing w:val="-17"/>
          <w:w w:val="110"/>
        </w:rPr>
        <w:t> </w:t>
      </w:r>
      <w:r>
        <w:rPr>
          <w:color w:val="231F20"/>
          <w:w w:val="110"/>
        </w:rPr>
        <w:t>our</w:t>
      </w:r>
      <w:r>
        <w:rPr>
          <w:color w:val="231F20"/>
          <w:spacing w:val="-29"/>
          <w:w w:val="110"/>
        </w:rPr>
        <w:t> </w:t>
      </w:r>
      <w:r>
        <w:rPr>
          <w:color w:val="231F20"/>
          <w:w w:val="110"/>
        </w:rPr>
        <w:t>ordinary</w:t>
      </w:r>
      <w:r>
        <w:rPr>
          <w:color w:val="231F20"/>
          <w:spacing w:val="-28"/>
          <w:w w:val="110"/>
        </w:rPr>
        <w:t> </w:t>
      </w:r>
      <w:r>
        <w:rPr>
          <w:color w:val="231F20"/>
          <w:w w:val="110"/>
        </w:rPr>
        <w:t>shares</w:t>
      </w:r>
      <w:r>
        <w:rPr>
          <w:color w:val="231F20"/>
          <w:spacing w:val="-28"/>
          <w:w w:val="110"/>
        </w:rPr>
        <w:t> </w:t>
      </w:r>
      <w:r>
        <w:rPr>
          <w:color w:val="231F20"/>
          <w:w w:val="110"/>
        </w:rPr>
        <w:t>as of</w:t>
      </w:r>
      <w:r>
        <w:rPr>
          <w:color w:val="231F20"/>
          <w:spacing w:val="-9"/>
          <w:w w:val="110"/>
        </w:rPr>
        <w:t> </w:t>
      </w:r>
      <w:r>
        <w:rPr>
          <w:color w:val="231F20"/>
          <w:w w:val="110"/>
        </w:rPr>
        <w:t>December</w:t>
      </w:r>
      <w:r>
        <w:rPr>
          <w:color w:val="231F20"/>
          <w:spacing w:val="-22"/>
          <w:w w:val="110"/>
        </w:rPr>
        <w:t> </w:t>
      </w:r>
      <w:r>
        <w:rPr>
          <w:color w:val="231F20"/>
          <w:w w:val="110"/>
        </w:rPr>
        <w:t>26,</w:t>
      </w:r>
      <w:r>
        <w:rPr>
          <w:color w:val="231F20"/>
          <w:spacing w:val="-21"/>
          <w:w w:val="110"/>
        </w:rPr>
        <w:t> </w:t>
      </w:r>
      <w:r>
        <w:rPr>
          <w:color w:val="231F20"/>
          <w:w w:val="110"/>
        </w:rPr>
        <w:t>2023,</w:t>
      </w:r>
      <w:r>
        <w:rPr>
          <w:color w:val="231F20"/>
          <w:spacing w:val="-22"/>
          <w:w w:val="110"/>
        </w:rPr>
        <w:t> </w:t>
      </w:r>
      <w:r>
        <w:rPr>
          <w:color w:val="231F20"/>
          <w:w w:val="110"/>
        </w:rPr>
        <w:t>by</w:t>
      </w:r>
      <w:r>
        <w:rPr>
          <w:color w:val="231F20"/>
          <w:spacing w:val="-21"/>
          <w:w w:val="110"/>
        </w:rPr>
        <w:t> </w:t>
      </w:r>
      <w:r>
        <w:rPr>
          <w:color w:val="231F20"/>
          <w:w w:val="110"/>
        </w:rPr>
        <w:t>each</w:t>
      </w:r>
      <w:r>
        <w:rPr>
          <w:color w:val="231F20"/>
          <w:spacing w:val="-22"/>
          <w:w w:val="110"/>
        </w:rPr>
        <w:t> </w:t>
      </w:r>
      <w:r>
        <w:rPr>
          <w:color w:val="231F20"/>
          <w:w w:val="110"/>
        </w:rPr>
        <w:t>person</w:t>
      </w:r>
      <w:r>
        <w:rPr>
          <w:color w:val="231F20"/>
          <w:spacing w:val="-21"/>
          <w:w w:val="110"/>
        </w:rPr>
        <w:t> </w:t>
      </w:r>
      <w:r>
        <w:rPr>
          <w:color w:val="231F20"/>
          <w:w w:val="110"/>
        </w:rPr>
        <w:t>known</w:t>
      </w:r>
      <w:r>
        <w:rPr>
          <w:color w:val="231F20"/>
          <w:spacing w:val="-22"/>
          <w:w w:val="110"/>
        </w:rPr>
        <w:t> </w:t>
      </w:r>
      <w:r>
        <w:rPr>
          <w:color w:val="231F20"/>
          <w:w w:val="110"/>
        </w:rPr>
        <w:t>by</w:t>
      </w:r>
      <w:r>
        <w:rPr>
          <w:color w:val="231F20"/>
          <w:spacing w:val="-21"/>
          <w:w w:val="110"/>
        </w:rPr>
        <w:t> </w:t>
      </w:r>
      <w:r>
        <w:rPr>
          <w:color w:val="231F20"/>
          <w:w w:val="110"/>
        </w:rPr>
        <w:t>us</w:t>
      </w:r>
      <w:r>
        <w:rPr>
          <w:color w:val="231F20"/>
          <w:spacing w:val="-22"/>
          <w:w w:val="110"/>
        </w:rPr>
        <w:t> </w:t>
      </w:r>
      <w:r>
        <w:rPr>
          <w:color w:val="231F20"/>
          <w:w w:val="110"/>
        </w:rPr>
        <w:t>to</w:t>
      </w:r>
      <w:r>
        <w:rPr>
          <w:color w:val="231F20"/>
          <w:spacing w:val="-21"/>
          <w:w w:val="110"/>
        </w:rPr>
        <w:t> </w:t>
      </w:r>
      <w:r>
        <w:rPr>
          <w:color w:val="231F20"/>
          <w:w w:val="110"/>
        </w:rPr>
        <w:t>beneficially</w:t>
      </w:r>
      <w:r>
        <w:rPr>
          <w:color w:val="231F20"/>
          <w:spacing w:val="-22"/>
          <w:w w:val="110"/>
        </w:rPr>
        <w:t> </w:t>
      </w:r>
      <w:r>
        <w:rPr>
          <w:color w:val="231F20"/>
          <w:w w:val="110"/>
        </w:rPr>
        <w:t>own</w:t>
      </w:r>
      <w:r>
        <w:rPr>
          <w:color w:val="231F20"/>
          <w:spacing w:val="-21"/>
          <w:w w:val="110"/>
        </w:rPr>
        <w:t> </w:t>
      </w:r>
      <w:r>
        <w:rPr>
          <w:color w:val="231F20"/>
          <w:w w:val="110"/>
        </w:rPr>
        <w:t>more</w:t>
      </w:r>
      <w:r>
        <w:rPr>
          <w:color w:val="231F20"/>
          <w:spacing w:val="-22"/>
          <w:w w:val="110"/>
        </w:rPr>
        <w:t> </w:t>
      </w:r>
      <w:r>
        <w:rPr>
          <w:color w:val="231F20"/>
          <w:w w:val="110"/>
        </w:rPr>
        <w:t>than</w:t>
      </w:r>
      <w:r>
        <w:rPr>
          <w:color w:val="231F20"/>
          <w:spacing w:val="-21"/>
          <w:w w:val="110"/>
        </w:rPr>
        <w:t> </w:t>
      </w:r>
      <w:r>
        <w:rPr>
          <w:color w:val="231F20"/>
          <w:w w:val="110"/>
        </w:rPr>
        <w:t>3%</w:t>
      </w:r>
      <w:r>
        <w:rPr>
          <w:color w:val="231F20"/>
          <w:spacing w:val="-22"/>
          <w:w w:val="110"/>
        </w:rPr>
        <w:t> </w:t>
      </w:r>
      <w:r>
        <w:rPr>
          <w:color w:val="231F20"/>
          <w:w w:val="110"/>
        </w:rPr>
        <w:t>of</w:t>
      </w:r>
      <w:r>
        <w:rPr>
          <w:color w:val="231F20"/>
          <w:spacing w:val="-8"/>
          <w:w w:val="110"/>
        </w:rPr>
        <w:t> </w:t>
      </w:r>
      <w:r>
        <w:rPr>
          <w:color w:val="231F20"/>
          <w:w w:val="110"/>
        </w:rPr>
        <w:t>the</w:t>
      </w:r>
      <w:r>
        <w:rPr>
          <w:color w:val="231F20"/>
          <w:spacing w:val="-22"/>
          <w:w w:val="110"/>
        </w:rPr>
        <w:t> </w:t>
      </w:r>
      <w:r>
        <w:rPr>
          <w:color w:val="231F20"/>
          <w:w w:val="110"/>
        </w:rPr>
        <w:t>outstanding ordinary</w:t>
      </w:r>
      <w:r>
        <w:rPr>
          <w:color w:val="231F20"/>
          <w:spacing w:val="-25"/>
          <w:w w:val="110"/>
        </w:rPr>
        <w:t> </w:t>
      </w:r>
      <w:r>
        <w:rPr>
          <w:color w:val="231F20"/>
          <w:w w:val="110"/>
        </w:rPr>
        <w:t>shares</w:t>
      </w:r>
      <w:r>
        <w:rPr>
          <w:color w:val="231F20"/>
          <w:spacing w:val="-24"/>
          <w:w w:val="110"/>
        </w:rPr>
        <w:t> </w:t>
      </w:r>
      <w:r>
        <w:rPr>
          <w:color w:val="231F20"/>
          <w:w w:val="110"/>
        </w:rPr>
        <w:t>in</w:t>
      </w:r>
      <w:r>
        <w:rPr>
          <w:color w:val="231F20"/>
          <w:spacing w:val="-24"/>
          <w:w w:val="110"/>
        </w:rPr>
        <w:t> </w:t>
      </w:r>
      <w:r>
        <w:rPr>
          <w:color w:val="231F20"/>
          <w:w w:val="110"/>
        </w:rPr>
        <w:t>line</w:t>
      </w:r>
      <w:r>
        <w:rPr>
          <w:color w:val="231F20"/>
          <w:spacing w:val="-24"/>
          <w:w w:val="110"/>
        </w:rPr>
        <w:t> </w:t>
      </w:r>
      <w:r>
        <w:rPr>
          <w:color w:val="231F20"/>
          <w:w w:val="110"/>
        </w:rPr>
        <w:t>with</w:t>
      </w:r>
      <w:r>
        <w:rPr>
          <w:color w:val="231F20"/>
          <w:spacing w:val="-24"/>
          <w:w w:val="110"/>
        </w:rPr>
        <w:t> </w:t>
      </w:r>
      <w:r>
        <w:rPr>
          <w:color w:val="231F20"/>
          <w:w w:val="110"/>
        </w:rPr>
        <w:t>Article</w:t>
      </w:r>
      <w:r>
        <w:rPr>
          <w:color w:val="231F20"/>
          <w:spacing w:val="-24"/>
          <w:w w:val="110"/>
        </w:rPr>
        <w:t> </w:t>
      </w:r>
      <w:r>
        <w:rPr>
          <w:color w:val="231F20"/>
          <w:w w:val="110"/>
        </w:rPr>
        <w:t>120</w:t>
      </w:r>
      <w:r>
        <w:rPr>
          <w:color w:val="231F20"/>
          <w:spacing w:val="-24"/>
          <w:w w:val="110"/>
        </w:rPr>
        <w:t> </w:t>
      </w:r>
      <w:r>
        <w:rPr>
          <w:color w:val="231F20"/>
          <w:w w:val="110"/>
        </w:rPr>
        <w:t>of</w:t>
      </w:r>
      <w:r>
        <w:rPr>
          <w:color w:val="231F20"/>
          <w:spacing w:val="-12"/>
          <w:w w:val="110"/>
        </w:rPr>
        <w:t> </w:t>
      </w:r>
      <w:r>
        <w:rPr>
          <w:color w:val="231F20"/>
          <w:w w:val="110"/>
        </w:rPr>
        <w:t>the</w:t>
      </w:r>
      <w:r>
        <w:rPr>
          <w:color w:val="231F20"/>
          <w:spacing w:val="-24"/>
          <w:w w:val="110"/>
        </w:rPr>
        <w:t> </w:t>
      </w:r>
      <w:r>
        <w:rPr>
          <w:color w:val="231F20"/>
          <w:w w:val="110"/>
        </w:rPr>
        <w:t>Swiss</w:t>
      </w:r>
      <w:r>
        <w:rPr>
          <w:color w:val="231F20"/>
          <w:spacing w:val="-24"/>
          <w:w w:val="110"/>
        </w:rPr>
        <w:t> </w:t>
      </w:r>
      <w:r>
        <w:rPr>
          <w:color w:val="231F20"/>
          <w:w w:val="110"/>
        </w:rPr>
        <w:t>Financial</w:t>
      </w:r>
      <w:r>
        <w:rPr>
          <w:color w:val="231F20"/>
          <w:spacing w:val="-24"/>
          <w:w w:val="110"/>
        </w:rPr>
        <w:t> </w:t>
      </w:r>
      <w:r>
        <w:rPr>
          <w:color w:val="231F20"/>
          <w:w w:val="110"/>
        </w:rPr>
        <w:t>Market</w:t>
      </w:r>
      <w:r>
        <w:rPr>
          <w:color w:val="231F20"/>
          <w:spacing w:val="-25"/>
          <w:w w:val="110"/>
        </w:rPr>
        <w:t> </w:t>
      </w:r>
      <w:r>
        <w:rPr>
          <w:color w:val="231F20"/>
          <w:w w:val="110"/>
        </w:rPr>
        <w:t>Infrastructure</w:t>
      </w:r>
      <w:r>
        <w:rPr>
          <w:color w:val="231F20"/>
          <w:spacing w:val="-24"/>
          <w:w w:val="110"/>
        </w:rPr>
        <w:t> </w:t>
      </w:r>
      <w:r>
        <w:rPr>
          <w:color w:val="231F20"/>
          <w:w w:val="110"/>
        </w:rPr>
        <w:t>Act</w:t>
      </w:r>
      <w:r>
        <w:rPr>
          <w:color w:val="231F20"/>
          <w:spacing w:val="-24"/>
          <w:w w:val="110"/>
        </w:rPr>
        <w:t> </w:t>
      </w:r>
      <w:r>
        <w:rPr>
          <w:color w:val="231F20"/>
          <w:w w:val="110"/>
        </w:rPr>
        <w:t>(the</w:t>
      </w:r>
      <w:r>
        <w:rPr>
          <w:color w:val="231F20"/>
          <w:spacing w:val="-24"/>
          <w:w w:val="110"/>
        </w:rPr>
        <w:t> </w:t>
      </w:r>
      <w:r>
        <w:rPr>
          <w:color w:val="231F20"/>
          <w:w w:val="110"/>
        </w:rPr>
        <w:t>“</w:t>
      </w:r>
      <w:r>
        <w:rPr>
          <w:b/>
          <w:color w:val="231F20"/>
          <w:w w:val="110"/>
        </w:rPr>
        <w:t>FMIA</w:t>
      </w:r>
      <w:r>
        <w:rPr>
          <w:color w:val="231F20"/>
          <w:w w:val="110"/>
        </w:rPr>
        <w:t>”),</w:t>
      </w:r>
      <w:r>
        <w:rPr>
          <w:color w:val="231F20"/>
          <w:spacing w:val="-24"/>
          <w:w w:val="110"/>
        </w:rPr>
        <w:t> </w:t>
      </w:r>
      <w:r>
        <w:rPr>
          <w:color w:val="231F20"/>
          <w:w w:val="110"/>
        </w:rPr>
        <w:t>or otherwise</w:t>
      </w:r>
      <w:r>
        <w:rPr>
          <w:color w:val="231F20"/>
          <w:spacing w:val="-13"/>
          <w:w w:val="110"/>
        </w:rPr>
        <w:t> </w:t>
      </w:r>
      <w:r>
        <w:rPr>
          <w:color w:val="231F20"/>
          <w:w w:val="110"/>
        </w:rPr>
        <w:t>known</w:t>
      </w:r>
      <w:r>
        <w:rPr>
          <w:color w:val="231F20"/>
          <w:spacing w:val="-12"/>
          <w:w w:val="110"/>
        </w:rPr>
        <w:t> </w:t>
      </w:r>
      <w:r>
        <w:rPr>
          <w:color w:val="231F20"/>
          <w:w w:val="110"/>
        </w:rPr>
        <w:t>to</w:t>
      </w:r>
      <w:r>
        <w:rPr>
          <w:color w:val="231F20"/>
          <w:spacing w:val="-13"/>
          <w:w w:val="110"/>
        </w:rPr>
        <w:t> </w:t>
      </w:r>
      <w:r>
        <w:rPr>
          <w:color w:val="231F20"/>
          <w:w w:val="110"/>
        </w:rPr>
        <w:t>us</w:t>
      </w:r>
      <w:r>
        <w:rPr>
          <w:color w:val="231F20"/>
          <w:spacing w:val="-12"/>
          <w:w w:val="110"/>
        </w:rPr>
        <w:t> </w:t>
      </w:r>
      <w:r>
        <w:rPr>
          <w:color w:val="231F20"/>
          <w:w w:val="110"/>
        </w:rPr>
        <w:t>to</w:t>
      </w:r>
      <w:r>
        <w:rPr>
          <w:color w:val="231F20"/>
          <w:spacing w:val="-12"/>
          <w:w w:val="110"/>
        </w:rPr>
        <w:t> </w:t>
      </w:r>
      <w:r>
        <w:rPr>
          <w:color w:val="231F20"/>
          <w:w w:val="110"/>
        </w:rPr>
        <w:t>beneficially</w:t>
      </w:r>
      <w:r>
        <w:rPr>
          <w:color w:val="231F20"/>
          <w:spacing w:val="-13"/>
          <w:w w:val="110"/>
        </w:rPr>
        <w:t> </w:t>
      </w:r>
      <w:r>
        <w:rPr>
          <w:color w:val="231F20"/>
          <w:w w:val="110"/>
        </w:rPr>
        <w:t>own</w:t>
      </w:r>
      <w:r>
        <w:rPr>
          <w:color w:val="231F20"/>
          <w:spacing w:val="-12"/>
          <w:w w:val="110"/>
        </w:rPr>
        <w:t> </w:t>
      </w:r>
      <w:r>
        <w:rPr>
          <w:color w:val="231F20"/>
          <w:w w:val="110"/>
        </w:rPr>
        <w:t>more</w:t>
      </w:r>
      <w:r>
        <w:rPr>
          <w:color w:val="231F20"/>
          <w:spacing w:val="-13"/>
          <w:w w:val="110"/>
        </w:rPr>
        <w:t> </w:t>
      </w:r>
      <w:r>
        <w:rPr>
          <w:color w:val="231F20"/>
          <w:w w:val="110"/>
        </w:rPr>
        <w:t>than</w:t>
      </w:r>
      <w:r>
        <w:rPr>
          <w:color w:val="231F20"/>
          <w:spacing w:val="-12"/>
          <w:w w:val="110"/>
        </w:rPr>
        <w:t> </w:t>
      </w:r>
      <w:r>
        <w:rPr>
          <w:color w:val="231F20"/>
          <w:w w:val="110"/>
        </w:rPr>
        <w:t>5%</w:t>
      </w:r>
      <w:r>
        <w:rPr>
          <w:color w:val="231F20"/>
          <w:spacing w:val="-12"/>
          <w:w w:val="110"/>
        </w:rPr>
        <w:t> </w:t>
      </w:r>
      <w:r>
        <w:rPr>
          <w:color w:val="231F20"/>
          <w:w w:val="110"/>
        </w:rPr>
        <w:t>of</w:t>
      </w:r>
      <w:r>
        <w:rPr>
          <w:color w:val="231F20"/>
          <w:spacing w:val="4"/>
          <w:w w:val="110"/>
        </w:rPr>
        <w:t> </w:t>
      </w:r>
      <w:r>
        <w:rPr>
          <w:color w:val="231F20"/>
          <w:w w:val="110"/>
        </w:rPr>
        <w:t>the</w:t>
      </w:r>
      <w:r>
        <w:rPr>
          <w:color w:val="231F20"/>
          <w:spacing w:val="-13"/>
          <w:w w:val="110"/>
        </w:rPr>
        <w:t> </w:t>
      </w:r>
      <w:r>
        <w:rPr>
          <w:color w:val="231F20"/>
          <w:w w:val="110"/>
        </w:rPr>
        <w:t>outstanding</w:t>
      </w:r>
      <w:r>
        <w:rPr>
          <w:color w:val="231F20"/>
          <w:spacing w:val="-12"/>
          <w:w w:val="110"/>
        </w:rPr>
        <w:t> </w:t>
      </w:r>
      <w:r>
        <w:rPr>
          <w:color w:val="231F20"/>
          <w:w w:val="110"/>
        </w:rPr>
        <w:t>ordinary</w:t>
      </w:r>
      <w:r>
        <w:rPr>
          <w:color w:val="231F20"/>
          <w:spacing w:val="-12"/>
          <w:w w:val="110"/>
        </w:rPr>
        <w:t> </w:t>
      </w:r>
      <w:r>
        <w:rPr>
          <w:color w:val="231F20"/>
          <w:spacing w:val="-3"/>
          <w:w w:val="110"/>
        </w:rPr>
        <w:t>shares.</w:t>
      </w:r>
    </w:p>
    <w:p>
      <w:pPr>
        <w:pStyle w:val="BodyText"/>
        <w:spacing w:line="247" w:lineRule="auto" w:before="163"/>
        <w:ind w:left="1090" w:right="1377" w:firstLine="399"/>
      </w:pPr>
      <w:r>
        <w:rPr>
          <w:color w:val="231F20"/>
          <w:w w:val="105"/>
        </w:rPr>
        <w:t>In respect of each person known to us to beneficially own more than 3% of the outstanding ordinary shares, the FMIA requires us and other persons who </w:t>
      </w:r>
      <w:r>
        <w:rPr>
          <w:color w:val="231F20"/>
          <w:spacing w:val="-3"/>
          <w:w w:val="105"/>
        </w:rPr>
        <w:t>directly, </w:t>
      </w:r>
      <w:r>
        <w:rPr>
          <w:color w:val="231F20"/>
          <w:w w:val="105"/>
        </w:rPr>
        <w:t>indirectly (as beneficial owners) or in concert with other parties, acquire or dispose of our ordinary shares or purchase or </w:t>
      </w:r>
      <w:r>
        <w:rPr>
          <w:color w:val="231F20"/>
          <w:spacing w:val="-3"/>
          <w:w w:val="105"/>
        </w:rPr>
        <w:t>sale </w:t>
      </w:r>
      <w:r>
        <w:rPr>
          <w:color w:val="231F20"/>
          <w:w w:val="105"/>
        </w:rPr>
        <w:t>rights or obligations relating to our ordinary shares, and thereby exceed or </w:t>
      </w:r>
      <w:r>
        <w:rPr>
          <w:color w:val="231F20"/>
          <w:spacing w:val="-3"/>
          <w:w w:val="105"/>
        </w:rPr>
        <w:t>fall </w:t>
      </w:r>
      <w:r>
        <w:rPr>
          <w:color w:val="231F20"/>
          <w:w w:val="105"/>
        </w:rPr>
        <w:t>below a threshold of 3%, 5%, 10%, 15%, 20%, 25%, </w:t>
      </w:r>
      <w:r>
        <w:rPr>
          <w:color w:val="231F20"/>
          <w:w w:val="99"/>
        </w:rPr>
        <w:t>33</w:t>
      </w:r>
      <w:r>
        <w:rPr>
          <w:color w:val="231F20"/>
          <w:w w:val="116"/>
          <w:position w:val="5"/>
          <w:sz w:val="12"/>
        </w:rPr>
        <w:t>1</w:t>
      </w:r>
      <w:r>
        <w:rPr>
          <w:color w:val="231F20"/>
          <w:w w:val="198"/>
        </w:rPr>
        <w:t>∕</w:t>
      </w:r>
      <w:r>
        <w:rPr>
          <w:color w:val="231F20"/>
          <w:w w:val="116"/>
          <w:sz w:val="12"/>
        </w:rPr>
        <w:t>3</w:t>
      </w:r>
      <w:r>
        <w:rPr>
          <w:color w:val="231F20"/>
          <w:w w:val="100"/>
        </w:rPr>
        <w:t>%,</w:t>
      </w:r>
      <w:r>
        <w:rPr>
          <w:color w:val="231F20"/>
        </w:rPr>
        <w:t> </w:t>
      </w:r>
      <w:r>
        <w:rPr>
          <w:color w:val="231F20"/>
          <w:w w:val="99"/>
        </w:rPr>
        <w:t>50%</w:t>
      </w:r>
      <w:r>
        <w:rPr>
          <w:color w:val="231F20"/>
        </w:rPr>
        <w:t> </w:t>
      </w:r>
      <w:r>
        <w:rPr>
          <w:color w:val="231F20"/>
          <w:w w:val="112"/>
        </w:rPr>
        <w:t>or</w:t>
      </w:r>
      <w:r>
        <w:rPr>
          <w:color w:val="231F20"/>
        </w:rPr>
        <w:t> </w:t>
      </w:r>
      <w:r>
        <w:rPr>
          <w:color w:val="231F20"/>
          <w:w w:val="99"/>
        </w:rPr>
        <w:t>6</w:t>
      </w:r>
      <w:r>
        <w:rPr>
          <w:color w:val="231F20"/>
          <w:spacing w:val="-1"/>
          <w:w w:val="99"/>
        </w:rPr>
        <w:t>6</w:t>
      </w:r>
      <w:r>
        <w:rPr>
          <w:color w:val="231F20"/>
          <w:w w:val="116"/>
          <w:position w:val="5"/>
          <w:sz w:val="12"/>
        </w:rPr>
        <w:t>2</w:t>
      </w:r>
      <w:r>
        <w:rPr>
          <w:color w:val="231F20"/>
          <w:w w:val="198"/>
        </w:rPr>
        <w:t>∕</w:t>
      </w:r>
      <w:r>
        <w:rPr>
          <w:color w:val="231F20"/>
          <w:w w:val="116"/>
          <w:sz w:val="12"/>
        </w:rPr>
        <w:t>3</w:t>
      </w:r>
      <w:r>
        <w:rPr>
          <w:color w:val="231F20"/>
          <w:w w:val="98"/>
        </w:rPr>
        <w:t>%</w:t>
      </w:r>
      <w:r>
        <w:rPr>
          <w:color w:val="231F20"/>
        </w:rPr>
        <w:t> </w:t>
      </w:r>
      <w:r>
        <w:rPr>
          <w:color w:val="231F20"/>
          <w:w w:val="110"/>
        </w:rPr>
        <w:t>o</w:t>
      </w:r>
      <w:r>
        <w:rPr>
          <w:color w:val="231F20"/>
          <w:w w:val="99"/>
        </w:rPr>
        <w:t>f</w:t>
      </w:r>
      <w:r>
        <w:rPr>
          <w:color w:val="231F20"/>
        </w:rPr>
        <w:t> </w:t>
      </w:r>
      <w:r>
        <w:rPr>
          <w:color w:val="231F20"/>
          <w:w w:val="111"/>
        </w:rPr>
        <w:t>our</w:t>
      </w:r>
      <w:r>
        <w:rPr>
          <w:color w:val="231F20"/>
        </w:rPr>
        <w:t> </w:t>
      </w:r>
      <w:r>
        <w:rPr>
          <w:color w:val="231F20"/>
          <w:spacing w:val="-6"/>
          <w:w w:val="99"/>
        </w:rPr>
        <w:t>v</w:t>
      </w:r>
      <w:r>
        <w:rPr>
          <w:color w:val="231F20"/>
          <w:w w:val="107"/>
        </w:rPr>
        <w:t>oting</w:t>
      </w:r>
      <w:r>
        <w:rPr>
          <w:color w:val="231F20"/>
        </w:rPr>
        <w:t> </w:t>
      </w:r>
      <w:r>
        <w:rPr>
          <w:color w:val="231F20"/>
          <w:w w:val="106"/>
        </w:rPr>
        <w:t>rights</w:t>
      </w:r>
      <w:r>
        <w:rPr>
          <w:color w:val="231F20"/>
        </w:rPr>
        <w:t> </w:t>
      </w:r>
      <w:r>
        <w:rPr>
          <w:color w:val="231F20"/>
          <w:w w:val="99"/>
        </w:rPr>
        <w:t>(</w:t>
      </w:r>
      <w:r>
        <w:rPr>
          <w:color w:val="231F20"/>
          <w:spacing w:val="-5"/>
          <w:w w:val="99"/>
        </w:rPr>
        <w:t>w</w:t>
      </w:r>
      <w:r>
        <w:rPr>
          <w:color w:val="231F20"/>
          <w:w w:val="107"/>
        </w:rPr>
        <w:t>hether</w:t>
      </w:r>
      <w:r>
        <w:rPr>
          <w:color w:val="231F20"/>
        </w:rPr>
        <w:t> </w:t>
      </w:r>
      <w:r>
        <w:rPr>
          <w:color w:val="231F20"/>
          <w:spacing w:val="-3"/>
          <w:w w:val="98"/>
        </w:rPr>
        <w:t>e</w:t>
      </w:r>
      <w:r>
        <w:rPr>
          <w:color w:val="231F20"/>
          <w:spacing w:val="-3"/>
          <w:w w:val="99"/>
        </w:rPr>
        <w:t>x</w:t>
      </w:r>
      <w:r>
        <w:rPr>
          <w:color w:val="231F20"/>
          <w:w w:val="105"/>
        </w:rPr>
        <w:t>e</w:t>
      </w:r>
      <w:r>
        <w:rPr>
          <w:color w:val="231F20"/>
          <w:spacing w:val="-3"/>
          <w:w w:val="105"/>
        </w:rPr>
        <w:t>r</w:t>
      </w:r>
      <w:r>
        <w:rPr>
          <w:color w:val="231F20"/>
          <w:w w:val="102"/>
        </w:rPr>
        <w:t>cis</w:t>
      </w:r>
      <w:r>
        <w:rPr>
          <w:color w:val="231F20"/>
          <w:spacing w:val="-9"/>
          <w:w w:val="102"/>
        </w:rPr>
        <w:t>a</w:t>
      </w:r>
      <w:r>
        <w:rPr>
          <w:color w:val="231F20"/>
          <w:spacing w:val="-3"/>
          <w:w w:val="110"/>
        </w:rPr>
        <w:t>b</w:t>
      </w:r>
      <w:r>
        <w:rPr>
          <w:color w:val="231F20"/>
          <w:w w:val="97"/>
        </w:rPr>
        <w:t>l</w:t>
      </w:r>
      <w:r>
        <w:rPr>
          <w:color w:val="231F20"/>
          <w:w w:val="98"/>
        </w:rPr>
        <w:t>e</w:t>
      </w:r>
      <w:r>
        <w:rPr>
          <w:color w:val="231F20"/>
        </w:rPr>
        <w:t> </w:t>
      </w:r>
      <w:r>
        <w:rPr>
          <w:color w:val="231F20"/>
          <w:w w:val="110"/>
        </w:rPr>
        <w:t>o</w:t>
      </w:r>
      <w:r>
        <w:rPr>
          <w:color w:val="231F20"/>
          <w:w w:val="115"/>
        </w:rPr>
        <w:t>r</w:t>
      </w:r>
      <w:r>
        <w:rPr>
          <w:color w:val="231F20"/>
        </w:rPr>
        <w:t> </w:t>
      </w:r>
      <w:r>
        <w:rPr>
          <w:color w:val="231F20"/>
          <w:w w:val="109"/>
        </w:rPr>
        <w:t>not),</w:t>
      </w:r>
      <w:r>
        <w:rPr>
          <w:color w:val="231F20"/>
        </w:rPr>
        <w:t> </w:t>
      </w:r>
      <w:r>
        <w:rPr>
          <w:color w:val="231F20"/>
          <w:w w:val="113"/>
        </w:rPr>
        <w:t>to</w:t>
      </w:r>
      <w:r>
        <w:rPr>
          <w:color w:val="231F20"/>
        </w:rPr>
        <w:t> </w:t>
      </w:r>
      <w:r>
        <w:rPr>
          <w:color w:val="231F20"/>
          <w:w w:val="106"/>
        </w:rPr>
        <w:t>notify</w:t>
      </w:r>
      <w:r>
        <w:rPr>
          <w:color w:val="231F20"/>
        </w:rPr>
        <w:t> </w:t>
      </w:r>
      <w:r>
        <w:rPr>
          <w:color w:val="231F20"/>
          <w:w w:val="105"/>
        </w:rPr>
        <w:t>us</w:t>
      </w:r>
      <w:r>
        <w:rPr>
          <w:color w:val="231F20"/>
        </w:rPr>
        <w:t> </w:t>
      </w:r>
      <w:r>
        <w:rPr>
          <w:color w:val="231F20"/>
          <w:w w:val="110"/>
        </w:rPr>
        <w:t>and</w:t>
      </w:r>
      <w:r>
        <w:rPr>
          <w:color w:val="231F20"/>
        </w:rPr>
        <w:t> </w:t>
      </w:r>
      <w:r>
        <w:rPr>
          <w:color w:val="231F20"/>
          <w:w w:val="108"/>
        </w:rPr>
        <w:t>the</w:t>
      </w:r>
      <w:r>
        <w:rPr>
          <w:color w:val="231F20"/>
        </w:rPr>
        <w:t> </w:t>
      </w:r>
      <w:r>
        <w:rPr>
          <w:color w:val="231F20"/>
          <w:w w:val="105"/>
        </w:rPr>
        <w:t>Disclosu</w:t>
      </w:r>
      <w:r>
        <w:rPr>
          <w:color w:val="231F20"/>
          <w:spacing w:val="-3"/>
          <w:w w:val="105"/>
        </w:rPr>
        <w:t>r</w:t>
      </w:r>
      <w:r>
        <w:rPr>
          <w:color w:val="231F20"/>
          <w:w w:val="98"/>
        </w:rPr>
        <w:t>e </w:t>
      </w:r>
      <w:r>
        <w:rPr>
          <w:color w:val="231F20"/>
          <w:w w:val="105"/>
        </w:rPr>
        <w:t>Office of the SIX of such acquisition or disposal using appropriate forms </w:t>
      </w:r>
      <w:r>
        <w:rPr>
          <w:color w:val="231F20"/>
          <w:spacing w:val="-4"/>
          <w:w w:val="105"/>
        </w:rPr>
        <w:t>available </w:t>
      </w:r>
      <w:r>
        <w:rPr>
          <w:color w:val="231F20"/>
          <w:w w:val="105"/>
        </w:rPr>
        <w:t>on the website of the SIX Disclosure </w:t>
      </w:r>
      <w:r>
        <w:rPr>
          <w:color w:val="231F20"/>
          <w:spacing w:val="-3"/>
          <w:w w:val="105"/>
        </w:rPr>
        <w:t>Office. </w:t>
      </w:r>
      <w:r>
        <w:rPr>
          <w:color w:val="231F20"/>
          <w:w w:val="105"/>
        </w:rPr>
        <w:t>The </w:t>
      </w:r>
      <w:r>
        <w:rPr>
          <w:color w:val="231F20"/>
          <w:spacing w:val="-3"/>
          <w:w w:val="105"/>
        </w:rPr>
        <w:t>table </w:t>
      </w:r>
      <w:r>
        <w:rPr>
          <w:color w:val="231F20"/>
          <w:w w:val="105"/>
        </w:rPr>
        <w:t>below has been prepared based on the disclosure notices published on the platform of the SIX Disclosure Office pursuant to the FMIA. Market transactions of shareholders which </w:t>
      </w:r>
      <w:r>
        <w:rPr>
          <w:color w:val="231F20"/>
          <w:spacing w:val="-5"/>
          <w:w w:val="105"/>
        </w:rPr>
        <w:t>have </w:t>
      </w:r>
      <w:r>
        <w:rPr>
          <w:color w:val="231F20"/>
          <w:w w:val="105"/>
        </w:rPr>
        <w:t>not triggered a disclosure notification are not reflected in the </w:t>
      </w:r>
      <w:r>
        <w:rPr>
          <w:color w:val="231F20"/>
          <w:spacing w:val="-3"/>
          <w:w w:val="105"/>
        </w:rPr>
        <w:t>numbers.</w:t>
      </w:r>
    </w:p>
    <w:p>
      <w:pPr>
        <w:pStyle w:val="BodyText"/>
        <w:spacing w:line="247" w:lineRule="auto" w:before="163"/>
        <w:ind w:left="1090" w:right="1296" w:firstLine="399"/>
      </w:pPr>
      <w:r>
        <w:rPr>
          <w:color w:val="231F20"/>
          <w:w w:val="105"/>
        </w:rPr>
        <w:t>Beneficial ownership is determined in accordance with the rules of the SEC. These rules generally attribute beneficial ownership of securities to persons who possess sole or shared voting power or investment power with respect to those securities and include shares issuable upon the exercise of options that are immediately exercisable or exercisable within 60 </w:t>
      </w:r>
      <w:r>
        <w:rPr>
          <w:color w:val="231F20"/>
          <w:spacing w:val="-5"/>
          <w:w w:val="105"/>
        </w:rPr>
        <w:t>days. </w:t>
      </w:r>
      <w:r>
        <w:rPr>
          <w:color w:val="231F20"/>
          <w:spacing w:val="-3"/>
          <w:w w:val="105"/>
        </w:rPr>
        <w:t>Accordingly, for </w:t>
      </w:r>
      <w:r>
        <w:rPr>
          <w:color w:val="231F20"/>
          <w:w w:val="105"/>
        </w:rPr>
        <w:t>purposes of the </w:t>
      </w:r>
      <w:r>
        <w:rPr>
          <w:color w:val="231F20"/>
          <w:spacing w:val="-3"/>
          <w:w w:val="105"/>
        </w:rPr>
        <w:t>table </w:t>
      </w:r>
      <w:r>
        <w:rPr>
          <w:color w:val="231F20"/>
          <w:spacing w:val="-5"/>
          <w:w w:val="105"/>
        </w:rPr>
        <w:t>below, </w:t>
      </w:r>
      <w:r>
        <w:rPr>
          <w:color w:val="231F20"/>
          <w:w w:val="105"/>
        </w:rPr>
        <w:t>we deem ordinary shares issuable pursuant to share options that are currently exercisable or exercisable within</w:t>
      </w:r>
    </w:p>
    <w:p>
      <w:pPr>
        <w:pStyle w:val="BodyText"/>
        <w:spacing w:line="247" w:lineRule="auto" w:before="4"/>
        <w:ind w:left="1090" w:right="1384"/>
      </w:pPr>
      <w:r>
        <w:rPr>
          <w:color w:val="231F20"/>
          <w:w w:val="105"/>
        </w:rPr>
        <w:t>60 days of December 26, 2023, to be outstanding and to be beneficially owned by the person holding the share options for the purposes of computing the percentage ownership of that person, but we do not treat them as outstanding for the purpose of computing the percentage ownership of any other person. Percentage ownership calculations are based on 16,392,754 ordinary shares issued and outstanding as of December 26, 2023 (which includes ordinary shares underlying the ADSs outstanding as of such date). Unlike the disclosure notices published on the platform of the SIX Disclosure Office pursuant to the FMIA, the table below does not reflect other purchase or sale positions (in terms of derivatives such as call or put options).</w:t>
      </w:r>
    </w:p>
    <w:p>
      <w:pPr>
        <w:spacing w:line="176" w:lineRule="exact" w:before="163"/>
        <w:ind w:left="0" w:right="2306" w:firstLine="0"/>
        <w:jc w:val="right"/>
        <w:rPr>
          <w:b/>
          <w:sz w:val="16"/>
        </w:rPr>
      </w:pPr>
      <w:r>
        <w:rPr>
          <w:b/>
          <w:color w:val="231F20"/>
          <w:w w:val="95"/>
          <w:sz w:val="16"/>
        </w:rPr>
        <w:t>Share</w:t>
      </w:r>
    </w:p>
    <w:p>
      <w:pPr>
        <w:spacing w:after="0" w:line="176" w:lineRule="exact"/>
        <w:jc w:val="right"/>
        <w:rPr>
          <w:sz w:val="16"/>
        </w:rPr>
        <w:sectPr>
          <w:pgSz w:w="11880" w:h="15480"/>
          <w:pgMar w:header="0" w:footer="664" w:top="940" w:bottom="860" w:left="300" w:right="0"/>
        </w:sectPr>
      </w:pPr>
    </w:p>
    <w:p>
      <w:pPr>
        <w:pStyle w:val="BodyText"/>
        <w:spacing w:before="10"/>
        <w:rPr>
          <w:b/>
          <w:sz w:val="15"/>
        </w:rPr>
      </w:pPr>
    </w:p>
    <w:p>
      <w:pPr>
        <w:spacing w:before="0"/>
        <w:ind w:left="1090" w:right="0" w:firstLine="0"/>
        <w:jc w:val="left"/>
        <w:rPr>
          <w:b/>
          <w:sz w:val="16"/>
        </w:rPr>
      </w:pPr>
      <w:r>
        <w:rPr>
          <w:b/>
          <w:color w:val="231F20"/>
          <w:sz w:val="16"/>
        </w:rPr>
        <w:t>Identity</w:t>
      </w:r>
      <w:r>
        <w:rPr>
          <w:b/>
          <w:color w:val="231F20"/>
          <w:spacing w:val="-17"/>
          <w:sz w:val="16"/>
        </w:rPr>
        <w:t> </w:t>
      </w:r>
      <w:r>
        <w:rPr>
          <w:b/>
          <w:color w:val="231F20"/>
          <w:sz w:val="16"/>
        </w:rPr>
        <w:t>of</w:t>
      </w:r>
      <w:r>
        <w:rPr>
          <w:b/>
          <w:color w:val="231F20"/>
          <w:spacing w:val="-10"/>
          <w:sz w:val="16"/>
        </w:rPr>
        <w:t> </w:t>
      </w:r>
      <w:r>
        <w:rPr>
          <w:b/>
          <w:color w:val="231F20"/>
          <w:sz w:val="16"/>
        </w:rPr>
        <w:t>Person</w:t>
      </w:r>
      <w:r>
        <w:rPr>
          <w:b/>
          <w:color w:val="231F20"/>
          <w:spacing w:val="-16"/>
          <w:sz w:val="16"/>
        </w:rPr>
        <w:t> </w:t>
      </w:r>
      <w:r>
        <w:rPr>
          <w:b/>
          <w:color w:val="231F20"/>
          <w:sz w:val="16"/>
        </w:rPr>
        <w:t>or</w:t>
      </w:r>
      <w:r>
        <w:rPr>
          <w:b/>
          <w:color w:val="231F20"/>
          <w:spacing w:val="-17"/>
          <w:sz w:val="16"/>
        </w:rPr>
        <w:t> </w:t>
      </w:r>
      <w:r>
        <w:rPr>
          <w:b/>
          <w:color w:val="231F20"/>
          <w:sz w:val="16"/>
        </w:rPr>
        <w:t>Group</w:t>
      </w:r>
    </w:p>
    <w:p>
      <w:pPr>
        <w:spacing w:line="235" w:lineRule="auto" w:before="6"/>
        <w:ind w:left="1121" w:right="0" w:hanging="32"/>
        <w:jc w:val="right"/>
        <w:rPr>
          <w:b/>
          <w:sz w:val="16"/>
        </w:rPr>
      </w:pPr>
      <w:r>
        <w:rPr/>
        <w:br w:type="column"/>
      </w:r>
      <w:r>
        <w:rPr>
          <w:b/>
          <w:color w:val="231F20"/>
          <w:w w:val="90"/>
          <w:sz w:val="16"/>
        </w:rPr>
        <w:t>Amount </w:t>
      </w:r>
      <w:r>
        <w:rPr>
          <w:b/>
          <w:color w:val="231F20"/>
          <w:w w:val="95"/>
          <w:sz w:val="16"/>
        </w:rPr>
        <w:t>Owned</w:t>
      </w:r>
    </w:p>
    <w:p>
      <w:pPr>
        <w:spacing w:line="235" w:lineRule="auto" w:before="6"/>
        <w:ind w:left="405" w:right="-6" w:hanging="6"/>
        <w:jc w:val="left"/>
        <w:rPr>
          <w:b/>
          <w:sz w:val="16"/>
        </w:rPr>
      </w:pPr>
      <w:r>
        <w:rPr/>
        <w:br w:type="column"/>
      </w:r>
      <w:r>
        <w:rPr>
          <w:b/>
          <w:color w:val="231F20"/>
          <w:w w:val="95"/>
          <w:sz w:val="16"/>
        </w:rPr>
        <w:t>Options </w:t>
      </w:r>
      <w:r>
        <w:rPr>
          <w:b/>
          <w:color w:val="231F20"/>
          <w:w w:val="90"/>
          <w:sz w:val="16"/>
        </w:rPr>
        <w:t>Current</w:t>
      </w:r>
    </w:p>
    <w:p>
      <w:pPr>
        <w:spacing w:line="235" w:lineRule="auto" w:before="6"/>
        <w:ind w:left="261" w:right="1377" w:firstLine="22"/>
        <w:jc w:val="left"/>
        <w:rPr>
          <w:b/>
          <w:sz w:val="16"/>
        </w:rPr>
      </w:pPr>
      <w:r>
        <w:rPr/>
        <w:br w:type="column"/>
      </w:r>
      <w:r>
        <w:rPr>
          <w:b/>
          <w:color w:val="231F20"/>
          <w:w w:val="95"/>
          <w:sz w:val="16"/>
        </w:rPr>
        <w:t>Percent </w:t>
      </w:r>
      <w:r>
        <w:rPr>
          <w:b/>
          <w:color w:val="231F20"/>
          <w:sz w:val="16"/>
        </w:rPr>
        <w:t>of Class</w:t>
      </w:r>
    </w:p>
    <w:p>
      <w:pPr>
        <w:spacing w:after="0" w:line="235" w:lineRule="auto"/>
        <w:jc w:val="left"/>
        <w:rPr>
          <w:sz w:val="16"/>
        </w:rPr>
        <w:sectPr>
          <w:type w:val="continuous"/>
          <w:pgSz w:w="11880" w:h="15480"/>
          <w:pgMar w:top="700" w:bottom="280" w:left="300" w:right="0"/>
          <w:cols w:num="4" w:equalWidth="0">
            <w:col w:w="2968" w:space="3787"/>
            <w:col w:w="1621" w:space="39"/>
            <w:col w:w="929" w:space="40"/>
            <w:col w:w="2196"/>
          </w:cols>
        </w:sectPr>
      </w:pPr>
    </w:p>
    <w:p>
      <w:pPr>
        <w:pStyle w:val="BodyText"/>
        <w:spacing w:before="4"/>
        <w:rPr>
          <w:b/>
          <w:sz w:val="4"/>
        </w:rPr>
      </w:pPr>
    </w:p>
    <w:tbl>
      <w:tblPr>
        <w:tblW w:w="0" w:type="auto"/>
        <w:jc w:val="left"/>
        <w:tblInd w:w="1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17"/>
        <w:gridCol w:w="1046"/>
        <w:gridCol w:w="653"/>
        <w:gridCol w:w="240"/>
        <w:gridCol w:w="664"/>
      </w:tblGrid>
      <w:tr>
        <w:trPr>
          <w:trHeight w:val="312" w:hRule="atLeast"/>
        </w:trPr>
        <w:tc>
          <w:tcPr>
            <w:tcW w:w="6617" w:type="dxa"/>
            <w:tcBorders>
              <w:top w:val="single" w:sz="4" w:space="0" w:color="231F20"/>
            </w:tcBorders>
          </w:tcPr>
          <w:p>
            <w:pPr>
              <w:pStyle w:val="TableParagraph"/>
              <w:spacing w:before="32"/>
              <w:rPr>
                <w:sz w:val="20"/>
              </w:rPr>
            </w:pPr>
            <w:r>
              <w:rPr>
                <w:color w:val="231F20"/>
                <w:w w:val="110"/>
                <w:sz w:val="20"/>
              </w:rPr>
              <w:t>Mrs. Mengke Cai (Zhuhai, China) and Kun Shen (Hong Kong, China)</w:t>
            </w:r>
            <w:r>
              <w:rPr>
                <w:color w:val="231F20"/>
                <w:w w:val="110"/>
                <w:sz w:val="20"/>
                <w:vertAlign w:val="superscript"/>
              </w:rPr>
              <w:t>(1)</w:t>
            </w:r>
            <w:r>
              <w:rPr>
                <w:color w:val="231F20"/>
                <w:w w:val="110"/>
                <w:sz w:val="20"/>
                <w:vertAlign w:val="baseline"/>
              </w:rPr>
              <w:t> . .</w:t>
            </w:r>
          </w:p>
        </w:tc>
        <w:tc>
          <w:tcPr>
            <w:tcW w:w="1046" w:type="dxa"/>
            <w:tcBorders>
              <w:top w:val="single" w:sz="4" w:space="0" w:color="231F20"/>
            </w:tcBorders>
          </w:tcPr>
          <w:p>
            <w:pPr>
              <w:pStyle w:val="TableParagraph"/>
              <w:spacing w:before="32"/>
              <w:ind w:left="-1"/>
              <w:rPr>
                <w:sz w:val="20"/>
              </w:rPr>
            </w:pPr>
            <w:r>
              <w:rPr>
                <w:color w:val="231F20"/>
                <w:sz w:val="20"/>
              </w:rPr>
              <w:t>5,969,413</w:t>
            </w:r>
          </w:p>
        </w:tc>
        <w:tc>
          <w:tcPr>
            <w:tcW w:w="653" w:type="dxa"/>
            <w:tcBorders>
              <w:top w:val="single" w:sz="4" w:space="0" w:color="231F20"/>
            </w:tcBorders>
          </w:tcPr>
          <w:p>
            <w:pPr>
              <w:pStyle w:val="TableParagraph"/>
              <w:rPr>
                <w:sz w:val="18"/>
              </w:rPr>
            </w:pPr>
          </w:p>
        </w:tc>
        <w:tc>
          <w:tcPr>
            <w:tcW w:w="240" w:type="dxa"/>
          </w:tcPr>
          <w:p>
            <w:pPr>
              <w:pStyle w:val="TableParagraph"/>
              <w:rPr>
                <w:sz w:val="18"/>
              </w:rPr>
            </w:pPr>
          </w:p>
        </w:tc>
        <w:tc>
          <w:tcPr>
            <w:tcW w:w="664" w:type="dxa"/>
            <w:tcBorders>
              <w:top w:val="single" w:sz="4" w:space="0" w:color="231F20"/>
            </w:tcBorders>
          </w:tcPr>
          <w:p>
            <w:pPr>
              <w:pStyle w:val="TableParagraph"/>
              <w:spacing w:before="32"/>
              <w:ind w:right="49"/>
              <w:jc w:val="right"/>
              <w:rPr>
                <w:sz w:val="20"/>
              </w:rPr>
            </w:pPr>
            <w:r>
              <w:rPr>
                <w:color w:val="231F20"/>
                <w:sz w:val="20"/>
              </w:rPr>
              <w:t>36.4%</w:t>
            </w:r>
          </w:p>
        </w:tc>
      </w:tr>
      <w:tr>
        <w:trPr>
          <w:trHeight w:val="289" w:hRule="atLeast"/>
        </w:trPr>
        <w:tc>
          <w:tcPr>
            <w:tcW w:w="6617" w:type="dxa"/>
          </w:tcPr>
          <w:p>
            <w:pPr>
              <w:pStyle w:val="TableParagraph"/>
              <w:spacing w:before="19"/>
              <w:ind w:left="-1"/>
              <w:rPr>
                <w:sz w:val="20"/>
              </w:rPr>
            </w:pPr>
            <w:r>
              <w:rPr>
                <w:color w:val="231F20"/>
                <w:w w:val="110"/>
                <w:sz w:val="20"/>
              </w:rPr>
              <w:t>More Provident Funds (Ramat Gan, Israel) . . . . . . . . . . . . . . . . . . . . . .</w:t>
            </w:r>
            <w:r>
              <w:rPr>
                <w:color w:val="231F20"/>
                <w:sz w:val="20"/>
              </w:rPr>
              <w:t> </w:t>
            </w:r>
          </w:p>
        </w:tc>
        <w:tc>
          <w:tcPr>
            <w:tcW w:w="1046" w:type="dxa"/>
          </w:tcPr>
          <w:p>
            <w:pPr>
              <w:pStyle w:val="TableParagraph"/>
              <w:spacing w:before="19"/>
              <w:ind w:left="-1"/>
              <w:rPr>
                <w:sz w:val="20"/>
              </w:rPr>
            </w:pPr>
            <w:r>
              <w:rPr>
                <w:color w:val="231F20"/>
                <w:sz w:val="20"/>
              </w:rPr>
              <w:t>1,812,525</w:t>
            </w:r>
          </w:p>
        </w:tc>
        <w:tc>
          <w:tcPr>
            <w:tcW w:w="653" w:type="dxa"/>
          </w:tcPr>
          <w:p>
            <w:pPr>
              <w:pStyle w:val="TableParagraph"/>
              <w:rPr>
                <w:sz w:val="18"/>
              </w:rPr>
            </w:pPr>
          </w:p>
        </w:tc>
        <w:tc>
          <w:tcPr>
            <w:tcW w:w="240" w:type="dxa"/>
          </w:tcPr>
          <w:p>
            <w:pPr>
              <w:pStyle w:val="TableParagraph"/>
              <w:rPr>
                <w:sz w:val="18"/>
              </w:rPr>
            </w:pPr>
          </w:p>
        </w:tc>
        <w:tc>
          <w:tcPr>
            <w:tcW w:w="664" w:type="dxa"/>
          </w:tcPr>
          <w:p>
            <w:pPr>
              <w:pStyle w:val="TableParagraph"/>
              <w:spacing w:before="19"/>
              <w:ind w:right="49"/>
              <w:jc w:val="right"/>
              <w:rPr>
                <w:sz w:val="20"/>
              </w:rPr>
            </w:pPr>
            <w:r>
              <w:rPr>
                <w:color w:val="231F20"/>
                <w:sz w:val="20"/>
              </w:rPr>
              <w:t>11.1%</w:t>
            </w:r>
          </w:p>
        </w:tc>
      </w:tr>
      <w:tr>
        <w:trPr>
          <w:trHeight w:val="308" w:hRule="atLeast"/>
        </w:trPr>
        <w:tc>
          <w:tcPr>
            <w:tcW w:w="6617" w:type="dxa"/>
          </w:tcPr>
          <w:p>
            <w:pPr>
              <w:pStyle w:val="TableParagraph"/>
              <w:spacing w:before="29"/>
              <w:ind w:left="-1"/>
              <w:rPr>
                <w:sz w:val="20"/>
              </w:rPr>
            </w:pPr>
            <w:r>
              <w:rPr>
                <w:color w:val="231F20"/>
                <w:w w:val="110"/>
                <w:sz w:val="20"/>
              </w:rPr>
              <w:t>Value Base Group (Tel Aviv, Israel)</w:t>
            </w:r>
            <w:r>
              <w:rPr>
                <w:color w:val="231F20"/>
                <w:w w:val="110"/>
                <w:sz w:val="20"/>
                <w:vertAlign w:val="superscript"/>
              </w:rPr>
              <w:t>(2)</w:t>
            </w:r>
            <w:r>
              <w:rPr>
                <w:color w:val="231F20"/>
                <w:w w:val="110"/>
                <w:sz w:val="20"/>
                <w:vertAlign w:val="baseline"/>
              </w:rPr>
              <w:t> . . . . . . . . . . . . . . . . . . . . . . . . . . .</w:t>
            </w:r>
            <w:r>
              <w:rPr>
                <w:color w:val="231F20"/>
                <w:sz w:val="20"/>
                <w:vertAlign w:val="baseline"/>
              </w:rPr>
              <w:t> </w:t>
            </w:r>
          </w:p>
        </w:tc>
        <w:tc>
          <w:tcPr>
            <w:tcW w:w="1046" w:type="dxa"/>
          </w:tcPr>
          <w:p>
            <w:pPr>
              <w:pStyle w:val="TableParagraph"/>
              <w:spacing w:before="29"/>
              <w:ind w:left="-1"/>
              <w:rPr>
                <w:sz w:val="20"/>
              </w:rPr>
            </w:pPr>
            <w:r>
              <w:rPr>
                <w:color w:val="231F20"/>
                <w:w w:val="105"/>
                <w:sz w:val="20"/>
              </w:rPr>
              <w:t>1,406,236</w:t>
            </w:r>
            <w:r>
              <w:rPr>
                <w:color w:val="231F20"/>
                <w:w w:val="105"/>
                <w:sz w:val="20"/>
                <w:vertAlign w:val="superscript"/>
              </w:rPr>
              <w:t>(3)</w:t>
            </w:r>
          </w:p>
        </w:tc>
        <w:tc>
          <w:tcPr>
            <w:tcW w:w="653" w:type="dxa"/>
          </w:tcPr>
          <w:p>
            <w:pPr>
              <w:pStyle w:val="TableParagraph"/>
              <w:rPr>
                <w:sz w:val="18"/>
              </w:rPr>
            </w:pPr>
          </w:p>
        </w:tc>
        <w:tc>
          <w:tcPr>
            <w:tcW w:w="240" w:type="dxa"/>
          </w:tcPr>
          <w:p>
            <w:pPr>
              <w:pStyle w:val="TableParagraph"/>
              <w:rPr>
                <w:sz w:val="18"/>
              </w:rPr>
            </w:pPr>
          </w:p>
        </w:tc>
        <w:tc>
          <w:tcPr>
            <w:tcW w:w="664" w:type="dxa"/>
          </w:tcPr>
          <w:p>
            <w:pPr>
              <w:pStyle w:val="TableParagraph"/>
              <w:spacing w:before="29"/>
              <w:ind w:right="49"/>
              <w:jc w:val="right"/>
              <w:rPr>
                <w:sz w:val="20"/>
              </w:rPr>
            </w:pPr>
            <w:r>
              <w:rPr>
                <w:color w:val="231F20"/>
                <w:sz w:val="20"/>
              </w:rPr>
              <w:t>8.6%</w:t>
            </w:r>
          </w:p>
        </w:tc>
      </w:tr>
      <w:tr>
        <w:trPr>
          <w:trHeight w:val="289" w:hRule="atLeast"/>
        </w:trPr>
        <w:tc>
          <w:tcPr>
            <w:tcW w:w="6617" w:type="dxa"/>
          </w:tcPr>
          <w:p>
            <w:pPr>
              <w:pStyle w:val="TableParagraph"/>
              <w:spacing w:before="19"/>
              <w:ind w:left="-1"/>
              <w:rPr>
                <w:sz w:val="20"/>
              </w:rPr>
            </w:pPr>
            <w:r>
              <w:rPr>
                <w:color w:val="231F20"/>
                <w:w w:val="110"/>
                <w:sz w:val="20"/>
              </w:rPr>
              <w:t>Yariv Alroy (Herzliya, Israel) . . . . . . . . . . . . . . . . . . . . . . . . . . . . . . . .</w:t>
            </w:r>
            <w:r>
              <w:rPr>
                <w:color w:val="231F20"/>
                <w:sz w:val="20"/>
              </w:rPr>
              <w:t> </w:t>
            </w:r>
          </w:p>
        </w:tc>
        <w:tc>
          <w:tcPr>
            <w:tcW w:w="1046" w:type="dxa"/>
          </w:tcPr>
          <w:p>
            <w:pPr>
              <w:pStyle w:val="TableParagraph"/>
              <w:spacing w:before="19"/>
              <w:ind w:left="153"/>
              <w:rPr>
                <w:sz w:val="20"/>
              </w:rPr>
            </w:pPr>
            <w:r>
              <w:rPr>
                <w:color w:val="231F20"/>
                <w:sz w:val="20"/>
              </w:rPr>
              <w:t>801,456</w:t>
            </w:r>
          </w:p>
        </w:tc>
        <w:tc>
          <w:tcPr>
            <w:tcW w:w="653" w:type="dxa"/>
          </w:tcPr>
          <w:p>
            <w:pPr>
              <w:pStyle w:val="TableParagraph"/>
              <w:spacing w:before="19"/>
              <w:ind w:left="-1"/>
              <w:rPr>
                <w:sz w:val="20"/>
              </w:rPr>
            </w:pPr>
            <w:r>
              <w:rPr>
                <w:color w:val="231F20"/>
                <w:sz w:val="20"/>
              </w:rPr>
              <w:t>250,000</w:t>
            </w:r>
          </w:p>
        </w:tc>
        <w:tc>
          <w:tcPr>
            <w:tcW w:w="240" w:type="dxa"/>
          </w:tcPr>
          <w:p>
            <w:pPr>
              <w:pStyle w:val="TableParagraph"/>
              <w:rPr>
                <w:sz w:val="18"/>
              </w:rPr>
            </w:pPr>
          </w:p>
        </w:tc>
        <w:tc>
          <w:tcPr>
            <w:tcW w:w="664" w:type="dxa"/>
          </w:tcPr>
          <w:p>
            <w:pPr>
              <w:pStyle w:val="TableParagraph"/>
              <w:spacing w:before="19"/>
              <w:ind w:right="49"/>
              <w:jc w:val="right"/>
              <w:rPr>
                <w:sz w:val="20"/>
              </w:rPr>
            </w:pPr>
            <w:r>
              <w:rPr>
                <w:color w:val="231F20"/>
                <w:sz w:val="20"/>
              </w:rPr>
              <w:t>6.3%</w:t>
            </w:r>
          </w:p>
        </w:tc>
      </w:tr>
      <w:tr>
        <w:trPr>
          <w:trHeight w:val="299" w:hRule="atLeast"/>
        </w:trPr>
        <w:tc>
          <w:tcPr>
            <w:tcW w:w="6617" w:type="dxa"/>
          </w:tcPr>
          <w:p>
            <w:pPr>
              <w:pStyle w:val="TableParagraph"/>
              <w:spacing w:before="29"/>
              <w:ind w:left="-1"/>
              <w:rPr>
                <w:sz w:val="20"/>
              </w:rPr>
            </w:pPr>
            <w:r>
              <w:rPr>
                <w:color w:val="231F20"/>
                <w:w w:val="110"/>
                <w:sz w:val="20"/>
              </w:rPr>
              <w:t>Danbar Finance Ltd. (Tel Aviv, Israel)</w:t>
            </w:r>
            <w:r>
              <w:rPr>
                <w:color w:val="231F20"/>
                <w:w w:val="110"/>
                <w:sz w:val="20"/>
                <w:vertAlign w:val="superscript"/>
              </w:rPr>
              <w:t>(4)</w:t>
            </w:r>
            <w:r>
              <w:rPr>
                <w:color w:val="231F20"/>
                <w:w w:val="110"/>
                <w:sz w:val="20"/>
                <w:vertAlign w:val="baseline"/>
              </w:rPr>
              <w:t> . . . . . . . . . . . . . . . . . . . . . . . .</w:t>
            </w:r>
            <w:r>
              <w:rPr>
                <w:color w:val="231F20"/>
                <w:sz w:val="20"/>
                <w:vertAlign w:val="baseline"/>
              </w:rPr>
              <w:t> </w:t>
            </w:r>
          </w:p>
        </w:tc>
        <w:tc>
          <w:tcPr>
            <w:tcW w:w="1046" w:type="dxa"/>
          </w:tcPr>
          <w:p>
            <w:pPr>
              <w:pStyle w:val="TableParagraph"/>
              <w:spacing w:before="29"/>
              <w:ind w:right="63"/>
              <w:jc w:val="right"/>
              <w:rPr>
                <w:sz w:val="20"/>
              </w:rPr>
            </w:pPr>
            <w:r>
              <w:rPr>
                <w:color w:val="231F20"/>
                <w:w w:val="105"/>
                <w:sz w:val="20"/>
              </w:rPr>
              <w:t>802,426</w:t>
            </w:r>
            <w:r>
              <w:rPr>
                <w:color w:val="231F20"/>
                <w:w w:val="105"/>
                <w:sz w:val="20"/>
                <w:vertAlign w:val="superscript"/>
              </w:rPr>
              <w:t>(5)</w:t>
            </w:r>
          </w:p>
        </w:tc>
        <w:tc>
          <w:tcPr>
            <w:tcW w:w="653" w:type="dxa"/>
          </w:tcPr>
          <w:p>
            <w:pPr>
              <w:pStyle w:val="TableParagraph"/>
              <w:rPr>
                <w:sz w:val="18"/>
              </w:rPr>
            </w:pPr>
          </w:p>
        </w:tc>
        <w:tc>
          <w:tcPr>
            <w:tcW w:w="240" w:type="dxa"/>
          </w:tcPr>
          <w:p>
            <w:pPr>
              <w:pStyle w:val="TableParagraph"/>
              <w:rPr>
                <w:sz w:val="18"/>
              </w:rPr>
            </w:pPr>
          </w:p>
        </w:tc>
        <w:tc>
          <w:tcPr>
            <w:tcW w:w="664" w:type="dxa"/>
          </w:tcPr>
          <w:p>
            <w:pPr>
              <w:pStyle w:val="TableParagraph"/>
              <w:spacing w:before="29"/>
              <w:ind w:right="49"/>
              <w:jc w:val="right"/>
              <w:rPr>
                <w:sz w:val="20"/>
              </w:rPr>
            </w:pPr>
            <w:r>
              <w:rPr>
                <w:color w:val="231F20"/>
                <w:sz w:val="20"/>
              </w:rPr>
              <w:t>4.9%</w:t>
            </w:r>
          </w:p>
        </w:tc>
      </w:tr>
      <w:tr>
        <w:trPr>
          <w:trHeight w:val="291" w:hRule="atLeast"/>
        </w:trPr>
        <w:tc>
          <w:tcPr>
            <w:tcW w:w="6617" w:type="dxa"/>
          </w:tcPr>
          <w:p>
            <w:pPr>
              <w:pStyle w:val="TableParagraph"/>
              <w:spacing w:before="29"/>
              <w:ind w:left="-1"/>
              <w:rPr>
                <w:sz w:val="20"/>
              </w:rPr>
            </w:pPr>
            <w:r>
              <w:rPr>
                <w:color w:val="231F20"/>
                <w:w w:val="105"/>
                <w:sz w:val="20"/>
              </w:rPr>
              <w:t>Sphera Funds Management (Tel Aviv, Israel) . . . . . . . . . . . . . . . . . . . . .</w:t>
            </w:r>
            <w:r>
              <w:rPr>
                <w:color w:val="231F20"/>
                <w:sz w:val="20"/>
              </w:rPr>
              <w:t> </w:t>
            </w:r>
          </w:p>
        </w:tc>
        <w:tc>
          <w:tcPr>
            <w:tcW w:w="1046" w:type="dxa"/>
          </w:tcPr>
          <w:p>
            <w:pPr>
              <w:pStyle w:val="TableParagraph"/>
              <w:spacing w:before="29"/>
              <w:ind w:right="63"/>
              <w:jc w:val="right"/>
              <w:rPr>
                <w:sz w:val="20"/>
              </w:rPr>
            </w:pPr>
            <w:r>
              <w:rPr>
                <w:color w:val="231F20"/>
                <w:w w:val="105"/>
                <w:sz w:val="20"/>
              </w:rPr>
              <w:t>632,256</w:t>
            </w:r>
            <w:r>
              <w:rPr>
                <w:color w:val="231F20"/>
                <w:w w:val="105"/>
                <w:sz w:val="20"/>
                <w:vertAlign w:val="superscript"/>
              </w:rPr>
              <w:t>(6)</w:t>
            </w:r>
          </w:p>
        </w:tc>
        <w:tc>
          <w:tcPr>
            <w:tcW w:w="653" w:type="dxa"/>
          </w:tcPr>
          <w:p>
            <w:pPr>
              <w:pStyle w:val="TableParagraph"/>
              <w:rPr>
                <w:sz w:val="18"/>
              </w:rPr>
            </w:pPr>
          </w:p>
        </w:tc>
        <w:tc>
          <w:tcPr>
            <w:tcW w:w="240" w:type="dxa"/>
          </w:tcPr>
          <w:p>
            <w:pPr>
              <w:pStyle w:val="TableParagraph"/>
              <w:rPr>
                <w:sz w:val="18"/>
              </w:rPr>
            </w:pPr>
          </w:p>
        </w:tc>
        <w:tc>
          <w:tcPr>
            <w:tcW w:w="664" w:type="dxa"/>
          </w:tcPr>
          <w:p>
            <w:pPr>
              <w:pStyle w:val="TableParagraph"/>
              <w:spacing w:before="29"/>
              <w:ind w:right="49"/>
              <w:jc w:val="right"/>
              <w:rPr>
                <w:sz w:val="20"/>
              </w:rPr>
            </w:pPr>
            <w:r>
              <w:rPr>
                <w:color w:val="231F20"/>
                <w:sz w:val="20"/>
              </w:rPr>
              <w:t>3.9%</w:t>
            </w:r>
          </w:p>
        </w:tc>
      </w:tr>
    </w:tbl>
    <w:p>
      <w:pPr>
        <w:pStyle w:val="BodyText"/>
        <w:spacing w:before="11"/>
        <w:rPr>
          <w:b/>
          <w:sz w:val="15"/>
        </w:rPr>
      </w:pPr>
      <w:r>
        <w:rPr/>
        <w:pict>
          <v:shape style="position:absolute;margin-left:69.504997pt;margin-top:11.377211pt;width:107.8pt;height:.1pt;mso-position-horizontal-relative:page;mso-position-vertical-relative:paragraph;z-index:-15724544;mso-wrap-distance-left:0;mso-wrap-distance-right:0" coordorigin="1390,228" coordsize="2156,0" path="m1390,228l3545,228e" filled="false" stroked="true" strokeweight=".499pt" strokecolor="#231f20">
            <v:path arrowok="t"/>
            <v:stroke dashstyle="solid"/>
            <w10:wrap type="topAndBottom"/>
          </v:shape>
        </w:pict>
      </w:r>
    </w:p>
    <w:p>
      <w:pPr>
        <w:pStyle w:val="ListParagraph"/>
        <w:numPr>
          <w:ilvl w:val="0"/>
          <w:numId w:val="2"/>
        </w:numPr>
        <w:tabs>
          <w:tab w:pos="1490" w:val="left" w:leader="none"/>
        </w:tabs>
        <w:spacing w:line="247" w:lineRule="auto" w:before="91" w:after="0"/>
        <w:ind w:left="1489" w:right="1393" w:hanging="400"/>
        <w:jc w:val="left"/>
        <w:rPr>
          <w:sz w:val="20"/>
        </w:rPr>
      </w:pPr>
      <w:r>
        <w:rPr>
          <w:color w:val="231F20"/>
          <w:w w:val="105"/>
          <w:sz w:val="20"/>
        </w:rPr>
        <w:t>Shareholder group consisting of </w:t>
      </w:r>
      <w:r>
        <w:rPr>
          <w:color w:val="231F20"/>
          <w:spacing w:val="-4"/>
          <w:w w:val="105"/>
          <w:sz w:val="20"/>
        </w:rPr>
        <w:t>Mrs. </w:t>
      </w:r>
      <w:r>
        <w:rPr>
          <w:color w:val="231F20"/>
          <w:w w:val="105"/>
          <w:sz w:val="20"/>
        </w:rPr>
        <w:t>Mengke Cai and </w:t>
      </w:r>
      <w:r>
        <w:rPr>
          <w:color w:val="231F20"/>
          <w:spacing w:val="-4"/>
          <w:w w:val="105"/>
          <w:sz w:val="20"/>
        </w:rPr>
        <w:t>Mrs. Kun </w:t>
      </w:r>
      <w:r>
        <w:rPr>
          <w:color w:val="231F20"/>
          <w:w w:val="105"/>
          <w:sz w:val="20"/>
        </w:rPr>
        <w:t>Shen. Pursuant to a decision of the Swiss </w:t>
      </w:r>
      <w:r>
        <w:rPr>
          <w:color w:val="231F20"/>
          <w:spacing w:val="-6"/>
          <w:w w:val="105"/>
          <w:sz w:val="20"/>
        </w:rPr>
        <w:t>Takeover </w:t>
      </w:r>
      <w:r>
        <w:rPr>
          <w:color w:val="231F20"/>
          <w:w w:val="105"/>
          <w:sz w:val="20"/>
        </w:rPr>
        <w:t>Board, Mengke Cai, </w:t>
      </w:r>
      <w:r>
        <w:rPr>
          <w:color w:val="231F20"/>
          <w:spacing w:val="-4"/>
          <w:w w:val="105"/>
          <w:sz w:val="20"/>
        </w:rPr>
        <w:t>Kun </w:t>
      </w:r>
      <w:r>
        <w:rPr>
          <w:color w:val="231F20"/>
          <w:w w:val="105"/>
          <w:sz w:val="20"/>
        </w:rPr>
        <w:t>Shen and their related entities </w:t>
      </w:r>
      <w:r>
        <w:rPr>
          <w:color w:val="231F20"/>
          <w:spacing w:val="-5"/>
          <w:w w:val="105"/>
          <w:sz w:val="20"/>
        </w:rPr>
        <w:t>have </w:t>
      </w:r>
      <w:r>
        <w:rPr>
          <w:color w:val="231F20"/>
          <w:w w:val="105"/>
          <w:sz w:val="20"/>
        </w:rPr>
        <w:t>been prohibited from acquiring further shares or acquisition or disposal rights relating to SHL, including suspension of the voting rights attached to their current</w:t>
      </w:r>
      <w:r>
        <w:rPr>
          <w:color w:val="231F20"/>
          <w:spacing w:val="-17"/>
          <w:w w:val="105"/>
          <w:sz w:val="20"/>
        </w:rPr>
        <w:t> </w:t>
      </w:r>
      <w:r>
        <w:rPr>
          <w:color w:val="231F20"/>
          <w:spacing w:val="-3"/>
          <w:w w:val="105"/>
          <w:sz w:val="20"/>
        </w:rPr>
        <w:t>shares.</w:t>
      </w:r>
    </w:p>
    <w:p>
      <w:pPr>
        <w:pStyle w:val="ListParagraph"/>
        <w:numPr>
          <w:ilvl w:val="0"/>
          <w:numId w:val="2"/>
        </w:numPr>
        <w:tabs>
          <w:tab w:pos="1490" w:val="left" w:leader="none"/>
        </w:tabs>
        <w:spacing w:line="247" w:lineRule="auto" w:before="83" w:after="0"/>
        <w:ind w:left="1489" w:right="1469" w:hanging="400"/>
        <w:jc w:val="left"/>
        <w:rPr>
          <w:sz w:val="20"/>
        </w:rPr>
      </w:pPr>
      <w:r>
        <w:rPr>
          <w:color w:val="231F20"/>
          <w:w w:val="105"/>
          <w:sz w:val="20"/>
        </w:rPr>
        <w:t>Shareholder</w:t>
      </w:r>
      <w:r>
        <w:rPr>
          <w:color w:val="231F20"/>
          <w:spacing w:val="-5"/>
          <w:w w:val="105"/>
          <w:sz w:val="20"/>
        </w:rPr>
        <w:t> </w:t>
      </w:r>
      <w:r>
        <w:rPr>
          <w:color w:val="231F20"/>
          <w:w w:val="105"/>
          <w:sz w:val="20"/>
        </w:rPr>
        <w:t>group</w:t>
      </w:r>
      <w:r>
        <w:rPr>
          <w:color w:val="231F20"/>
          <w:spacing w:val="-5"/>
          <w:w w:val="105"/>
          <w:sz w:val="20"/>
        </w:rPr>
        <w:t> </w:t>
      </w:r>
      <w:r>
        <w:rPr>
          <w:color w:val="231F20"/>
          <w:w w:val="105"/>
          <w:sz w:val="20"/>
        </w:rPr>
        <w:t>consisting</w:t>
      </w:r>
      <w:r>
        <w:rPr>
          <w:color w:val="231F20"/>
          <w:spacing w:val="-5"/>
          <w:w w:val="105"/>
          <w:sz w:val="20"/>
        </w:rPr>
        <w:t> </w:t>
      </w:r>
      <w:r>
        <w:rPr>
          <w:color w:val="231F20"/>
          <w:w w:val="105"/>
          <w:sz w:val="20"/>
        </w:rPr>
        <w:t>of</w:t>
      </w:r>
      <w:r>
        <w:rPr>
          <w:color w:val="231F20"/>
          <w:spacing w:val="14"/>
          <w:w w:val="105"/>
          <w:sz w:val="20"/>
        </w:rPr>
        <w:t> </w:t>
      </w:r>
      <w:r>
        <w:rPr>
          <w:color w:val="231F20"/>
          <w:w w:val="105"/>
          <w:sz w:val="20"/>
        </w:rPr>
        <w:t>the</w:t>
      </w:r>
      <w:r>
        <w:rPr>
          <w:color w:val="231F20"/>
          <w:spacing w:val="-5"/>
          <w:w w:val="105"/>
          <w:sz w:val="20"/>
        </w:rPr>
        <w:t> </w:t>
      </w:r>
      <w:r>
        <w:rPr>
          <w:color w:val="231F20"/>
          <w:w w:val="105"/>
          <w:sz w:val="20"/>
        </w:rPr>
        <w:t>following</w:t>
      </w:r>
      <w:r>
        <w:rPr>
          <w:color w:val="231F20"/>
          <w:spacing w:val="-5"/>
          <w:w w:val="105"/>
          <w:sz w:val="20"/>
        </w:rPr>
        <w:t> </w:t>
      </w:r>
      <w:r>
        <w:rPr>
          <w:color w:val="231F20"/>
          <w:w w:val="105"/>
          <w:sz w:val="20"/>
        </w:rPr>
        <w:t>beneficial</w:t>
      </w:r>
      <w:r>
        <w:rPr>
          <w:color w:val="231F20"/>
          <w:spacing w:val="-5"/>
          <w:w w:val="105"/>
          <w:sz w:val="20"/>
        </w:rPr>
        <w:t> </w:t>
      </w:r>
      <w:r>
        <w:rPr>
          <w:color w:val="231F20"/>
          <w:w w:val="105"/>
          <w:sz w:val="20"/>
        </w:rPr>
        <w:t>owners</w:t>
      </w:r>
      <w:r>
        <w:rPr>
          <w:color w:val="231F20"/>
          <w:spacing w:val="-5"/>
          <w:w w:val="105"/>
          <w:sz w:val="20"/>
        </w:rPr>
        <w:t> </w:t>
      </w:r>
      <w:r>
        <w:rPr>
          <w:color w:val="231F20"/>
          <w:w w:val="105"/>
          <w:sz w:val="20"/>
        </w:rPr>
        <w:t>(as</w:t>
      </w:r>
      <w:r>
        <w:rPr>
          <w:color w:val="231F20"/>
          <w:spacing w:val="-5"/>
          <w:w w:val="105"/>
          <w:sz w:val="20"/>
        </w:rPr>
        <w:t> </w:t>
      </w:r>
      <w:r>
        <w:rPr>
          <w:color w:val="231F20"/>
          <w:w w:val="105"/>
          <w:sz w:val="20"/>
        </w:rPr>
        <w:t>defined</w:t>
      </w:r>
      <w:r>
        <w:rPr>
          <w:color w:val="231F20"/>
          <w:spacing w:val="-5"/>
          <w:w w:val="105"/>
          <w:sz w:val="20"/>
        </w:rPr>
        <w:t> </w:t>
      </w:r>
      <w:r>
        <w:rPr>
          <w:color w:val="231F20"/>
          <w:w w:val="105"/>
          <w:sz w:val="20"/>
        </w:rPr>
        <w:t>by</w:t>
      </w:r>
      <w:r>
        <w:rPr>
          <w:color w:val="231F20"/>
          <w:spacing w:val="-4"/>
          <w:w w:val="105"/>
          <w:sz w:val="20"/>
        </w:rPr>
        <w:t> </w:t>
      </w:r>
      <w:r>
        <w:rPr>
          <w:color w:val="231F20"/>
          <w:w w:val="105"/>
          <w:sz w:val="20"/>
        </w:rPr>
        <w:t>the</w:t>
      </w:r>
      <w:r>
        <w:rPr>
          <w:color w:val="231F20"/>
          <w:spacing w:val="-5"/>
          <w:w w:val="105"/>
          <w:sz w:val="20"/>
        </w:rPr>
        <w:t> </w:t>
      </w:r>
      <w:r>
        <w:rPr>
          <w:color w:val="231F20"/>
          <w:w w:val="105"/>
          <w:sz w:val="20"/>
        </w:rPr>
        <w:t>FMIA):</w:t>
      </w:r>
      <w:r>
        <w:rPr>
          <w:color w:val="231F20"/>
          <w:spacing w:val="-5"/>
          <w:w w:val="105"/>
          <w:sz w:val="20"/>
        </w:rPr>
        <w:t> Value </w:t>
      </w:r>
      <w:r>
        <w:rPr>
          <w:color w:val="231F20"/>
          <w:w w:val="105"/>
          <w:sz w:val="20"/>
        </w:rPr>
        <w:t>Base Ltd. (23 </w:t>
      </w:r>
      <w:r>
        <w:rPr>
          <w:color w:val="231F20"/>
          <w:spacing w:val="-5"/>
          <w:w w:val="105"/>
          <w:sz w:val="20"/>
        </w:rPr>
        <w:t>Yehuda </w:t>
      </w:r>
      <w:r>
        <w:rPr>
          <w:color w:val="231F20"/>
          <w:w w:val="105"/>
          <w:sz w:val="20"/>
        </w:rPr>
        <w:t>Halevy St., </w:t>
      </w:r>
      <w:r>
        <w:rPr>
          <w:color w:val="231F20"/>
          <w:spacing w:val="-6"/>
          <w:w w:val="105"/>
          <w:sz w:val="20"/>
        </w:rPr>
        <w:t>Tel </w:t>
      </w:r>
      <w:r>
        <w:rPr>
          <w:color w:val="231F20"/>
          <w:spacing w:val="-9"/>
          <w:w w:val="105"/>
          <w:sz w:val="20"/>
        </w:rPr>
        <w:t>Aviv, </w:t>
      </w:r>
      <w:r>
        <w:rPr>
          <w:color w:val="231F20"/>
          <w:w w:val="105"/>
          <w:sz w:val="20"/>
        </w:rPr>
        <w:t>Israel), Harmony Base LP (23 </w:t>
      </w:r>
      <w:r>
        <w:rPr>
          <w:color w:val="231F20"/>
          <w:spacing w:val="-5"/>
          <w:w w:val="105"/>
          <w:sz w:val="20"/>
        </w:rPr>
        <w:t>Yehuda </w:t>
      </w:r>
      <w:r>
        <w:rPr>
          <w:color w:val="231F20"/>
          <w:w w:val="105"/>
          <w:sz w:val="20"/>
        </w:rPr>
        <w:t>Halevy St., </w:t>
      </w:r>
      <w:r>
        <w:rPr>
          <w:color w:val="231F20"/>
          <w:spacing w:val="-6"/>
          <w:w w:val="105"/>
          <w:sz w:val="20"/>
        </w:rPr>
        <w:t>Tel </w:t>
      </w:r>
      <w:r>
        <w:rPr>
          <w:color w:val="231F20"/>
          <w:spacing w:val="-9"/>
          <w:w w:val="105"/>
          <w:sz w:val="20"/>
        </w:rPr>
        <w:t>Aviv, </w:t>
      </w:r>
      <w:r>
        <w:rPr>
          <w:color w:val="231F20"/>
          <w:w w:val="105"/>
          <w:sz w:val="20"/>
        </w:rPr>
        <w:t>Israel), Ido Nouberger </w:t>
      </w:r>
      <w:r>
        <w:rPr>
          <w:color w:val="231F20"/>
          <w:spacing w:val="-5"/>
          <w:w w:val="105"/>
          <w:sz w:val="20"/>
        </w:rPr>
        <w:t>(Tel </w:t>
      </w:r>
      <w:r>
        <w:rPr>
          <w:color w:val="231F20"/>
          <w:spacing w:val="-9"/>
          <w:w w:val="105"/>
          <w:sz w:val="20"/>
        </w:rPr>
        <w:t>Aviv, </w:t>
      </w:r>
      <w:r>
        <w:rPr>
          <w:color w:val="231F20"/>
          <w:w w:val="105"/>
          <w:sz w:val="20"/>
        </w:rPr>
        <w:t>Israel) and Victor Shamrich </w:t>
      </w:r>
      <w:r>
        <w:rPr>
          <w:color w:val="231F20"/>
          <w:spacing w:val="-5"/>
          <w:w w:val="105"/>
          <w:sz w:val="20"/>
        </w:rPr>
        <w:t>(Tel </w:t>
      </w:r>
      <w:r>
        <w:rPr>
          <w:color w:val="231F20"/>
          <w:spacing w:val="-9"/>
          <w:w w:val="105"/>
          <w:sz w:val="20"/>
        </w:rPr>
        <w:t>Aviv,</w:t>
      </w:r>
      <w:r>
        <w:rPr>
          <w:color w:val="231F20"/>
          <w:spacing w:val="-15"/>
          <w:w w:val="105"/>
          <w:sz w:val="20"/>
        </w:rPr>
        <w:t> </w:t>
      </w:r>
      <w:r>
        <w:rPr>
          <w:color w:val="231F20"/>
          <w:w w:val="105"/>
          <w:sz w:val="20"/>
        </w:rPr>
        <w:t>Israel).</w:t>
      </w:r>
    </w:p>
    <w:p>
      <w:pPr>
        <w:pStyle w:val="ListParagraph"/>
        <w:numPr>
          <w:ilvl w:val="0"/>
          <w:numId w:val="2"/>
        </w:numPr>
        <w:tabs>
          <w:tab w:pos="1490" w:val="left" w:leader="none"/>
        </w:tabs>
        <w:spacing w:line="240" w:lineRule="auto" w:before="81" w:after="0"/>
        <w:ind w:left="1489" w:right="0" w:hanging="400"/>
        <w:jc w:val="left"/>
        <w:rPr>
          <w:sz w:val="20"/>
        </w:rPr>
      </w:pPr>
      <w:r>
        <w:rPr>
          <w:color w:val="231F20"/>
          <w:w w:val="105"/>
          <w:sz w:val="20"/>
        </w:rPr>
        <w:t>Based</w:t>
      </w:r>
      <w:r>
        <w:rPr>
          <w:color w:val="231F20"/>
          <w:spacing w:val="-4"/>
          <w:w w:val="105"/>
          <w:sz w:val="20"/>
        </w:rPr>
        <w:t> </w:t>
      </w:r>
      <w:r>
        <w:rPr>
          <w:color w:val="231F20"/>
          <w:w w:val="105"/>
          <w:sz w:val="20"/>
        </w:rPr>
        <w:t>on</w:t>
      </w:r>
      <w:r>
        <w:rPr>
          <w:color w:val="231F20"/>
          <w:spacing w:val="-4"/>
          <w:w w:val="105"/>
          <w:sz w:val="20"/>
        </w:rPr>
        <w:t> </w:t>
      </w:r>
      <w:r>
        <w:rPr>
          <w:color w:val="231F20"/>
          <w:w w:val="105"/>
          <w:sz w:val="20"/>
        </w:rPr>
        <w:t>the</w:t>
      </w:r>
      <w:r>
        <w:rPr>
          <w:color w:val="231F20"/>
          <w:spacing w:val="-3"/>
          <w:w w:val="105"/>
          <w:sz w:val="20"/>
        </w:rPr>
        <w:t> </w:t>
      </w:r>
      <w:r>
        <w:rPr>
          <w:color w:val="231F20"/>
          <w:w w:val="105"/>
          <w:sz w:val="20"/>
        </w:rPr>
        <w:t>Schedule</w:t>
      </w:r>
      <w:r>
        <w:rPr>
          <w:color w:val="231F20"/>
          <w:spacing w:val="-4"/>
          <w:w w:val="105"/>
          <w:sz w:val="20"/>
        </w:rPr>
        <w:t> </w:t>
      </w:r>
      <w:r>
        <w:rPr>
          <w:color w:val="231F20"/>
          <w:w w:val="105"/>
          <w:sz w:val="20"/>
        </w:rPr>
        <w:t>13D</w:t>
      </w:r>
      <w:r>
        <w:rPr>
          <w:color w:val="231F20"/>
          <w:spacing w:val="-4"/>
          <w:w w:val="105"/>
          <w:sz w:val="20"/>
        </w:rPr>
        <w:t> </w:t>
      </w:r>
      <w:r>
        <w:rPr>
          <w:color w:val="231F20"/>
          <w:w w:val="105"/>
          <w:sz w:val="20"/>
        </w:rPr>
        <w:t>filed</w:t>
      </w:r>
      <w:r>
        <w:rPr>
          <w:color w:val="231F20"/>
          <w:spacing w:val="-3"/>
          <w:w w:val="105"/>
          <w:sz w:val="20"/>
        </w:rPr>
        <w:t> </w:t>
      </w:r>
      <w:r>
        <w:rPr>
          <w:color w:val="231F20"/>
          <w:w w:val="105"/>
          <w:sz w:val="20"/>
        </w:rPr>
        <w:t>by</w:t>
      </w:r>
      <w:r>
        <w:rPr>
          <w:color w:val="231F20"/>
          <w:spacing w:val="-4"/>
          <w:w w:val="105"/>
          <w:sz w:val="20"/>
        </w:rPr>
        <w:t> </w:t>
      </w:r>
      <w:r>
        <w:rPr>
          <w:color w:val="231F20"/>
          <w:spacing w:val="-5"/>
          <w:w w:val="105"/>
          <w:sz w:val="20"/>
        </w:rPr>
        <w:t>Value</w:t>
      </w:r>
      <w:r>
        <w:rPr>
          <w:color w:val="231F20"/>
          <w:spacing w:val="-3"/>
          <w:w w:val="105"/>
          <w:sz w:val="20"/>
        </w:rPr>
        <w:t> </w:t>
      </w:r>
      <w:r>
        <w:rPr>
          <w:color w:val="231F20"/>
          <w:w w:val="105"/>
          <w:sz w:val="20"/>
        </w:rPr>
        <w:t>Base</w:t>
      </w:r>
      <w:r>
        <w:rPr>
          <w:color w:val="231F20"/>
          <w:spacing w:val="-4"/>
          <w:w w:val="105"/>
          <w:sz w:val="20"/>
        </w:rPr>
        <w:t> </w:t>
      </w:r>
      <w:r>
        <w:rPr>
          <w:color w:val="231F20"/>
          <w:w w:val="105"/>
          <w:sz w:val="20"/>
        </w:rPr>
        <w:t>Group</w:t>
      </w:r>
      <w:r>
        <w:rPr>
          <w:color w:val="231F20"/>
          <w:spacing w:val="-4"/>
          <w:w w:val="105"/>
          <w:sz w:val="20"/>
        </w:rPr>
        <w:t> </w:t>
      </w:r>
      <w:r>
        <w:rPr>
          <w:color w:val="231F20"/>
          <w:w w:val="105"/>
          <w:sz w:val="20"/>
        </w:rPr>
        <w:t>with</w:t>
      </w:r>
      <w:r>
        <w:rPr>
          <w:color w:val="231F20"/>
          <w:spacing w:val="-3"/>
          <w:w w:val="105"/>
          <w:sz w:val="20"/>
        </w:rPr>
        <w:t> </w:t>
      </w:r>
      <w:r>
        <w:rPr>
          <w:color w:val="231F20"/>
          <w:w w:val="105"/>
          <w:sz w:val="20"/>
        </w:rPr>
        <w:t>the</w:t>
      </w:r>
      <w:r>
        <w:rPr>
          <w:color w:val="231F20"/>
          <w:spacing w:val="-4"/>
          <w:w w:val="105"/>
          <w:sz w:val="20"/>
        </w:rPr>
        <w:t> </w:t>
      </w:r>
      <w:r>
        <w:rPr>
          <w:color w:val="231F20"/>
          <w:w w:val="105"/>
          <w:sz w:val="20"/>
        </w:rPr>
        <w:t>SEC</w:t>
      </w:r>
      <w:r>
        <w:rPr>
          <w:color w:val="231F20"/>
          <w:spacing w:val="-3"/>
          <w:w w:val="105"/>
          <w:sz w:val="20"/>
        </w:rPr>
        <w:t> </w:t>
      </w:r>
      <w:r>
        <w:rPr>
          <w:color w:val="231F20"/>
          <w:w w:val="105"/>
          <w:sz w:val="20"/>
        </w:rPr>
        <w:t>on</w:t>
      </w:r>
      <w:r>
        <w:rPr>
          <w:color w:val="231F20"/>
          <w:spacing w:val="-4"/>
          <w:w w:val="105"/>
          <w:sz w:val="20"/>
        </w:rPr>
        <w:t> </w:t>
      </w:r>
      <w:r>
        <w:rPr>
          <w:color w:val="231F20"/>
          <w:w w:val="105"/>
          <w:sz w:val="20"/>
        </w:rPr>
        <w:t>December</w:t>
      </w:r>
      <w:r>
        <w:rPr>
          <w:color w:val="231F20"/>
          <w:spacing w:val="-4"/>
          <w:w w:val="105"/>
          <w:sz w:val="20"/>
        </w:rPr>
        <w:t> </w:t>
      </w:r>
      <w:r>
        <w:rPr>
          <w:color w:val="231F20"/>
          <w:w w:val="105"/>
          <w:sz w:val="20"/>
        </w:rPr>
        <w:t>21,</w:t>
      </w:r>
      <w:r>
        <w:rPr>
          <w:color w:val="231F20"/>
          <w:spacing w:val="-3"/>
          <w:w w:val="105"/>
          <w:sz w:val="20"/>
        </w:rPr>
        <w:t> </w:t>
      </w:r>
      <w:r>
        <w:rPr>
          <w:color w:val="231F20"/>
          <w:w w:val="105"/>
          <w:sz w:val="20"/>
        </w:rPr>
        <w:t>2023.</w:t>
      </w:r>
    </w:p>
    <w:p>
      <w:pPr>
        <w:pStyle w:val="ListParagraph"/>
        <w:numPr>
          <w:ilvl w:val="0"/>
          <w:numId w:val="2"/>
        </w:numPr>
        <w:tabs>
          <w:tab w:pos="1490" w:val="left" w:leader="none"/>
        </w:tabs>
        <w:spacing w:line="247" w:lineRule="auto" w:before="88" w:after="0"/>
        <w:ind w:left="1489" w:right="1627" w:hanging="400"/>
        <w:jc w:val="left"/>
        <w:rPr>
          <w:sz w:val="20"/>
        </w:rPr>
      </w:pPr>
      <w:r>
        <w:rPr>
          <w:color w:val="231F20"/>
          <w:w w:val="105"/>
          <w:sz w:val="20"/>
        </w:rPr>
        <w:t>Shareholder group consisting of the following beneficial owners (as defined by the FMIA): Danbar Finance Ltd. (94 </w:t>
      </w:r>
      <w:r>
        <w:rPr>
          <w:color w:val="231F20"/>
          <w:spacing w:val="-4"/>
          <w:w w:val="105"/>
          <w:sz w:val="20"/>
        </w:rPr>
        <w:t>Yigal </w:t>
      </w:r>
      <w:r>
        <w:rPr>
          <w:color w:val="231F20"/>
          <w:w w:val="105"/>
          <w:sz w:val="20"/>
        </w:rPr>
        <w:t>Alon Street, </w:t>
      </w:r>
      <w:r>
        <w:rPr>
          <w:color w:val="231F20"/>
          <w:spacing w:val="-6"/>
          <w:w w:val="105"/>
          <w:sz w:val="20"/>
        </w:rPr>
        <w:t>Tel </w:t>
      </w:r>
      <w:r>
        <w:rPr>
          <w:color w:val="231F20"/>
          <w:spacing w:val="-9"/>
          <w:w w:val="105"/>
          <w:sz w:val="20"/>
        </w:rPr>
        <w:t>Aviv, </w:t>
      </w:r>
      <w:r>
        <w:rPr>
          <w:color w:val="231F20"/>
          <w:w w:val="105"/>
          <w:sz w:val="20"/>
        </w:rPr>
        <w:t>Israel), Matan Wulkan (94 </w:t>
      </w:r>
      <w:r>
        <w:rPr>
          <w:color w:val="231F20"/>
          <w:spacing w:val="-4"/>
          <w:w w:val="105"/>
          <w:sz w:val="20"/>
        </w:rPr>
        <w:t>Yigal </w:t>
      </w:r>
      <w:r>
        <w:rPr>
          <w:color w:val="231F20"/>
          <w:w w:val="105"/>
          <w:sz w:val="20"/>
        </w:rPr>
        <w:t>Alon Street, </w:t>
      </w:r>
      <w:r>
        <w:rPr>
          <w:color w:val="231F20"/>
          <w:spacing w:val="-6"/>
          <w:w w:val="105"/>
          <w:sz w:val="20"/>
        </w:rPr>
        <w:t>Tel </w:t>
      </w:r>
      <w:r>
        <w:rPr>
          <w:color w:val="231F20"/>
          <w:spacing w:val="-9"/>
          <w:w w:val="105"/>
          <w:sz w:val="20"/>
        </w:rPr>
        <w:t>Aviv, </w:t>
      </w:r>
      <w:r>
        <w:rPr>
          <w:color w:val="231F20"/>
          <w:w w:val="105"/>
          <w:sz w:val="20"/>
        </w:rPr>
        <w:t>Israel) and Nir </w:t>
      </w:r>
      <w:r>
        <w:rPr>
          <w:color w:val="231F20"/>
          <w:spacing w:val="-3"/>
          <w:w w:val="105"/>
          <w:sz w:val="20"/>
        </w:rPr>
        <w:t>Rotenberg </w:t>
      </w:r>
      <w:r>
        <w:rPr>
          <w:color w:val="231F20"/>
          <w:w w:val="105"/>
          <w:sz w:val="20"/>
        </w:rPr>
        <w:t>(94 </w:t>
      </w:r>
      <w:r>
        <w:rPr>
          <w:color w:val="231F20"/>
          <w:spacing w:val="-4"/>
          <w:w w:val="105"/>
          <w:sz w:val="20"/>
        </w:rPr>
        <w:t>Yigal </w:t>
      </w:r>
      <w:r>
        <w:rPr>
          <w:color w:val="231F20"/>
          <w:w w:val="105"/>
          <w:sz w:val="20"/>
        </w:rPr>
        <w:t>Alon Street, </w:t>
      </w:r>
      <w:r>
        <w:rPr>
          <w:color w:val="231F20"/>
          <w:spacing w:val="-6"/>
          <w:w w:val="105"/>
          <w:sz w:val="20"/>
        </w:rPr>
        <w:t>Tel </w:t>
      </w:r>
      <w:r>
        <w:rPr>
          <w:color w:val="231F20"/>
          <w:spacing w:val="-9"/>
          <w:w w:val="105"/>
          <w:sz w:val="20"/>
        </w:rPr>
        <w:t>Aviv,</w:t>
      </w:r>
      <w:r>
        <w:rPr>
          <w:color w:val="231F20"/>
          <w:spacing w:val="-17"/>
          <w:w w:val="105"/>
          <w:sz w:val="20"/>
        </w:rPr>
        <w:t> </w:t>
      </w:r>
      <w:r>
        <w:rPr>
          <w:color w:val="231F20"/>
          <w:w w:val="105"/>
          <w:sz w:val="20"/>
        </w:rPr>
        <w:t>Israel).</w:t>
      </w:r>
    </w:p>
    <w:p>
      <w:pPr>
        <w:pStyle w:val="ListParagraph"/>
        <w:numPr>
          <w:ilvl w:val="0"/>
          <w:numId w:val="2"/>
        </w:numPr>
        <w:tabs>
          <w:tab w:pos="1490" w:val="left" w:leader="none"/>
        </w:tabs>
        <w:spacing w:line="240" w:lineRule="auto" w:before="81" w:after="0"/>
        <w:ind w:left="1489" w:right="0" w:hanging="400"/>
        <w:jc w:val="left"/>
        <w:rPr>
          <w:sz w:val="20"/>
        </w:rPr>
      </w:pPr>
      <w:r>
        <w:rPr>
          <w:color w:val="231F20"/>
          <w:w w:val="105"/>
          <w:sz w:val="20"/>
        </w:rPr>
        <w:t>Based</w:t>
      </w:r>
      <w:r>
        <w:rPr>
          <w:color w:val="231F20"/>
          <w:spacing w:val="-3"/>
          <w:w w:val="105"/>
          <w:sz w:val="20"/>
        </w:rPr>
        <w:t> </w:t>
      </w:r>
      <w:r>
        <w:rPr>
          <w:color w:val="231F20"/>
          <w:w w:val="105"/>
          <w:sz w:val="20"/>
        </w:rPr>
        <w:t>on</w:t>
      </w:r>
      <w:r>
        <w:rPr>
          <w:color w:val="231F20"/>
          <w:spacing w:val="-2"/>
          <w:w w:val="105"/>
          <w:sz w:val="20"/>
        </w:rPr>
        <w:t> </w:t>
      </w:r>
      <w:r>
        <w:rPr>
          <w:color w:val="231F20"/>
          <w:w w:val="105"/>
          <w:sz w:val="20"/>
        </w:rPr>
        <w:t>the</w:t>
      </w:r>
      <w:r>
        <w:rPr>
          <w:color w:val="231F20"/>
          <w:spacing w:val="-3"/>
          <w:w w:val="105"/>
          <w:sz w:val="20"/>
        </w:rPr>
        <w:t> </w:t>
      </w:r>
      <w:r>
        <w:rPr>
          <w:color w:val="231F20"/>
          <w:w w:val="105"/>
          <w:sz w:val="20"/>
        </w:rPr>
        <w:t>Schedule</w:t>
      </w:r>
      <w:r>
        <w:rPr>
          <w:color w:val="231F20"/>
          <w:spacing w:val="-2"/>
          <w:w w:val="105"/>
          <w:sz w:val="20"/>
        </w:rPr>
        <w:t> </w:t>
      </w:r>
      <w:r>
        <w:rPr>
          <w:color w:val="231F20"/>
          <w:w w:val="105"/>
          <w:sz w:val="20"/>
        </w:rPr>
        <w:t>13D</w:t>
      </w:r>
      <w:r>
        <w:rPr>
          <w:color w:val="231F20"/>
          <w:spacing w:val="-3"/>
          <w:w w:val="105"/>
          <w:sz w:val="20"/>
        </w:rPr>
        <w:t> </w:t>
      </w:r>
      <w:r>
        <w:rPr>
          <w:color w:val="231F20"/>
          <w:w w:val="105"/>
          <w:sz w:val="20"/>
        </w:rPr>
        <w:t>filed</w:t>
      </w:r>
      <w:r>
        <w:rPr>
          <w:color w:val="231F20"/>
          <w:spacing w:val="-2"/>
          <w:w w:val="105"/>
          <w:sz w:val="20"/>
        </w:rPr>
        <w:t> </w:t>
      </w:r>
      <w:r>
        <w:rPr>
          <w:color w:val="231F20"/>
          <w:w w:val="105"/>
          <w:sz w:val="20"/>
        </w:rPr>
        <w:t>by</w:t>
      </w:r>
      <w:r>
        <w:rPr>
          <w:color w:val="231F20"/>
          <w:spacing w:val="-3"/>
          <w:w w:val="105"/>
          <w:sz w:val="20"/>
        </w:rPr>
        <w:t> </w:t>
      </w:r>
      <w:r>
        <w:rPr>
          <w:color w:val="231F20"/>
          <w:w w:val="105"/>
          <w:sz w:val="20"/>
        </w:rPr>
        <w:t>Danbar</w:t>
      </w:r>
      <w:r>
        <w:rPr>
          <w:color w:val="231F20"/>
          <w:spacing w:val="-2"/>
          <w:w w:val="105"/>
          <w:sz w:val="20"/>
        </w:rPr>
        <w:t> </w:t>
      </w:r>
      <w:r>
        <w:rPr>
          <w:color w:val="231F20"/>
          <w:w w:val="105"/>
          <w:sz w:val="20"/>
        </w:rPr>
        <w:t>Finance</w:t>
      </w:r>
      <w:r>
        <w:rPr>
          <w:color w:val="231F20"/>
          <w:spacing w:val="-3"/>
          <w:w w:val="105"/>
          <w:sz w:val="20"/>
        </w:rPr>
        <w:t> </w:t>
      </w:r>
      <w:r>
        <w:rPr>
          <w:color w:val="231F20"/>
          <w:w w:val="105"/>
          <w:sz w:val="20"/>
        </w:rPr>
        <w:t>Ltd.</w:t>
      </w:r>
      <w:r>
        <w:rPr>
          <w:color w:val="231F20"/>
          <w:spacing w:val="-2"/>
          <w:w w:val="105"/>
          <w:sz w:val="20"/>
        </w:rPr>
        <w:t> </w:t>
      </w:r>
      <w:r>
        <w:rPr>
          <w:color w:val="231F20"/>
          <w:w w:val="105"/>
          <w:sz w:val="20"/>
        </w:rPr>
        <w:t>with</w:t>
      </w:r>
      <w:r>
        <w:rPr>
          <w:color w:val="231F20"/>
          <w:spacing w:val="-2"/>
          <w:w w:val="105"/>
          <w:sz w:val="20"/>
        </w:rPr>
        <w:t> </w:t>
      </w:r>
      <w:r>
        <w:rPr>
          <w:color w:val="231F20"/>
          <w:w w:val="105"/>
          <w:sz w:val="20"/>
        </w:rPr>
        <w:t>the</w:t>
      </w:r>
      <w:r>
        <w:rPr>
          <w:color w:val="231F20"/>
          <w:spacing w:val="-3"/>
          <w:w w:val="105"/>
          <w:sz w:val="20"/>
        </w:rPr>
        <w:t> </w:t>
      </w:r>
      <w:r>
        <w:rPr>
          <w:color w:val="231F20"/>
          <w:w w:val="105"/>
          <w:sz w:val="20"/>
        </w:rPr>
        <w:t>SEC</w:t>
      </w:r>
      <w:r>
        <w:rPr>
          <w:color w:val="231F20"/>
          <w:spacing w:val="-2"/>
          <w:w w:val="105"/>
          <w:sz w:val="20"/>
        </w:rPr>
        <w:t> </w:t>
      </w:r>
      <w:r>
        <w:rPr>
          <w:color w:val="231F20"/>
          <w:w w:val="105"/>
          <w:sz w:val="20"/>
        </w:rPr>
        <w:t>on</w:t>
      </w:r>
      <w:r>
        <w:rPr>
          <w:color w:val="231F20"/>
          <w:spacing w:val="-3"/>
          <w:w w:val="105"/>
          <w:sz w:val="20"/>
        </w:rPr>
        <w:t> </w:t>
      </w:r>
      <w:r>
        <w:rPr>
          <w:color w:val="231F20"/>
          <w:w w:val="105"/>
          <w:sz w:val="20"/>
        </w:rPr>
        <w:t>December</w:t>
      </w:r>
      <w:r>
        <w:rPr>
          <w:color w:val="231F20"/>
          <w:spacing w:val="-2"/>
          <w:w w:val="105"/>
          <w:sz w:val="20"/>
        </w:rPr>
        <w:t> </w:t>
      </w:r>
      <w:r>
        <w:rPr>
          <w:color w:val="231F20"/>
          <w:w w:val="105"/>
          <w:sz w:val="20"/>
        </w:rPr>
        <w:t>26,</w:t>
      </w:r>
      <w:r>
        <w:rPr>
          <w:color w:val="231F20"/>
          <w:spacing w:val="-3"/>
          <w:w w:val="105"/>
          <w:sz w:val="20"/>
        </w:rPr>
        <w:t> </w:t>
      </w:r>
      <w:r>
        <w:rPr>
          <w:color w:val="231F20"/>
          <w:w w:val="105"/>
          <w:sz w:val="20"/>
        </w:rPr>
        <w:t>2023.</w:t>
      </w:r>
    </w:p>
    <w:p>
      <w:pPr>
        <w:pStyle w:val="ListParagraph"/>
        <w:numPr>
          <w:ilvl w:val="0"/>
          <w:numId w:val="2"/>
        </w:numPr>
        <w:tabs>
          <w:tab w:pos="1490" w:val="left" w:leader="none"/>
        </w:tabs>
        <w:spacing w:line="240" w:lineRule="auto" w:before="88" w:after="0"/>
        <w:ind w:left="1489" w:right="0" w:hanging="400"/>
        <w:jc w:val="left"/>
        <w:rPr>
          <w:sz w:val="20"/>
        </w:rPr>
      </w:pPr>
      <w:r>
        <w:rPr>
          <w:color w:val="231F20"/>
          <w:w w:val="105"/>
          <w:sz w:val="20"/>
        </w:rPr>
        <w:t>Based on the </w:t>
      </w:r>
      <w:r>
        <w:rPr>
          <w:color w:val="231F20"/>
          <w:spacing w:val="-3"/>
          <w:w w:val="105"/>
          <w:sz w:val="20"/>
        </w:rPr>
        <w:t>Form </w:t>
      </w:r>
      <w:r>
        <w:rPr>
          <w:color w:val="231F20"/>
          <w:w w:val="105"/>
          <w:sz w:val="20"/>
        </w:rPr>
        <w:t>13F-HR filed by Sphera Funds Management with the SEC on November 14,</w:t>
      </w:r>
      <w:r>
        <w:rPr>
          <w:color w:val="231F20"/>
          <w:spacing w:val="-15"/>
          <w:w w:val="105"/>
          <w:sz w:val="20"/>
        </w:rPr>
        <w:t> </w:t>
      </w:r>
      <w:r>
        <w:rPr>
          <w:color w:val="231F20"/>
          <w:w w:val="105"/>
          <w:sz w:val="20"/>
        </w:rPr>
        <w:t>2023.</w:t>
      </w:r>
    </w:p>
    <w:p>
      <w:pPr>
        <w:spacing w:after="0" w:line="240" w:lineRule="auto"/>
        <w:jc w:val="left"/>
        <w:rPr>
          <w:sz w:val="20"/>
        </w:rPr>
        <w:sectPr>
          <w:type w:val="continuous"/>
          <w:pgSz w:w="11880" w:h="15480"/>
          <w:pgMar w:top="700" w:bottom="280" w:left="300" w:right="0"/>
        </w:sect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28"/>
        </w:rPr>
      </w:pPr>
    </w:p>
    <w:p>
      <w:pPr>
        <w:pStyle w:val="Heading2"/>
      </w:pPr>
      <w:r>
        <w:rPr>
          <w:color w:val="231F20"/>
          <w:spacing w:val="-1"/>
          <w:w w:val="95"/>
        </w:rPr>
        <w:t>Background</w:t>
      </w:r>
    </w:p>
    <w:p>
      <w:pPr>
        <w:spacing w:line="499" w:lineRule="auto" w:before="87"/>
        <w:ind w:left="546" w:right="2973" w:firstLine="0"/>
        <w:jc w:val="center"/>
        <w:rPr>
          <w:b/>
          <w:sz w:val="20"/>
        </w:rPr>
      </w:pPr>
      <w:r>
        <w:rPr/>
        <w:br w:type="column"/>
      </w:r>
      <w:r>
        <w:rPr>
          <w:b/>
          <w:color w:val="231F20"/>
          <w:sz w:val="20"/>
        </w:rPr>
        <w:t>MATTERS SUBMITTED TO SHAREHOLDERS BY OUR BOARD </w:t>
      </w:r>
      <w:r>
        <w:rPr>
          <w:b/>
          <w:color w:val="231F20"/>
          <w:sz w:val="20"/>
          <w:u w:val="single" w:color="231F20"/>
        </w:rPr>
        <w:t>PROPOSAL 1</w:t>
      </w:r>
    </w:p>
    <w:p>
      <w:pPr>
        <w:pStyle w:val="Heading2"/>
        <w:spacing w:before="1"/>
        <w:ind w:left="546" w:right="2973"/>
        <w:jc w:val="center"/>
      </w:pPr>
      <w:r>
        <w:rPr>
          <w:color w:val="231F20"/>
        </w:rPr>
        <w:t>AMENDMENT OF ARTICLES OF ASSOCIATION</w:t>
      </w:r>
    </w:p>
    <w:p>
      <w:pPr>
        <w:spacing w:after="0"/>
        <w:jc w:val="center"/>
        <w:sectPr>
          <w:pgSz w:w="11880" w:h="15480"/>
          <w:pgMar w:header="0" w:footer="664" w:top="940" w:bottom="860" w:left="300" w:right="0"/>
          <w:cols w:num="2" w:equalWidth="0">
            <w:col w:w="2091" w:space="40"/>
            <w:col w:w="9449"/>
          </w:cols>
        </w:sectPr>
      </w:pPr>
    </w:p>
    <w:p>
      <w:pPr>
        <w:pStyle w:val="BodyText"/>
        <w:spacing w:line="244" w:lineRule="auto" w:before="169"/>
        <w:ind w:left="1090" w:right="1454" w:firstLine="399"/>
        <w:jc w:val="both"/>
      </w:pPr>
      <w:r>
        <w:rPr>
          <w:color w:val="231F20"/>
          <w:w w:val="105"/>
        </w:rPr>
        <w:t>Article 32 of our Amended and Restated Articles of Association (“</w:t>
      </w:r>
      <w:r>
        <w:rPr>
          <w:b/>
          <w:color w:val="231F20"/>
          <w:w w:val="105"/>
        </w:rPr>
        <w:t>Article 32</w:t>
      </w:r>
      <w:r>
        <w:rPr>
          <w:color w:val="231F20"/>
          <w:w w:val="105"/>
        </w:rPr>
        <w:t>”) currently provides that our Board shall consist of not less than three and not more than nine directors. We are proposing to amend Article 32 to increase the maximum number of directors who can serve at any one time from nine to ten</w:t>
      </w:r>
    </w:p>
    <w:p>
      <w:pPr>
        <w:pStyle w:val="BodyText"/>
        <w:spacing w:line="244" w:lineRule="auto" w:before="3"/>
        <w:ind w:left="1090" w:right="1386"/>
        <w:jc w:val="both"/>
      </w:pPr>
      <w:r>
        <w:rPr>
          <w:color w:val="231F20"/>
          <w:w w:val="105"/>
        </w:rPr>
        <w:t>in</w:t>
      </w:r>
      <w:r>
        <w:rPr>
          <w:color w:val="231F20"/>
          <w:spacing w:val="-13"/>
          <w:w w:val="105"/>
        </w:rPr>
        <w:t> </w:t>
      </w:r>
      <w:r>
        <w:rPr>
          <w:color w:val="231F20"/>
          <w:w w:val="105"/>
        </w:rPr>
        <w:t>order</w:t>
      </w:r>
      <w:r>
        <w:rPr>
          <w:color w:val="231F20"/>
          <w:spacing w:val="-12"/>
          <w:w w:val="105"/>
        </w:rPr>
        <w:t> </w:t>
      </w:r>
      <w:r>
        <w:rPr>
          <w:color w:val="231F20"/>
          <w:w w:val="105"/>
        </w:rPr>
        <w:t>to</w:t>
      </w:r>
      <w:r>
        <w:rPr>
          <w:color w:val="231F20"/>
          <w:spacing w:val="-12"/>
          <w:w w:val="105"/>
        </w:rPr>
        <w:t> </w:t>
      </w:r>
      <w:r>
        <w:rPr>
          <w:color w:val="231F20"/>
          <w:w w:val="105"/>
        </w:rPr>
        <w:t>provide</w:t>
      </w:r>
      <w:r>
        <w:rPr>
          <w:color w:val="231F20"/>
          <w:spacing w:val="-12"/>
          <w:w w:val="105"/>
        </w:rPr>
        <w:t> </w:t>
      </w:r>
      <w:r>
        <w:rPr>
          <w:color w:val="231F20"/>
          <w:w w:val="105"/>
        </w:rPr>
        <w:t>us</w:t>
      </w:r>
      <w:r>
        <w:rPr>
          <w:color w:val="231F20"/>
          <w:spacing w:val="-12"/>
          <w:w w:val="105"/>
        </w:rPr>
        <w:t> </w:t>
      </w:r>
      <w:r>
        <w:rPr>
          <w:color w:val="231F20"/>
          <w:w w:val="105"/>
        </w:rPr>
        <w:t>greater</w:t>
      </w:r>
      <w:r>
        <w:rPr>
          <w:color w:val="231F20"/>
          <w:spacing w:val="-12"/>
          <w:w w:val="105"/>
        </w:rPr>
        <w:t> </w:t>
      </w:r>
      <w:r>
        <w:rPr>
          <w:color w:val="231F20"/>
          <w:w w:val="105"/>
        </w:rPr>
        <w:t>flexibility</w:t>
      </w:r>
      <w:r>
        <w:rPr>
          <w:color w:val="231F20"/>
          <w:spacing w:val="-13"/>
          <w:w w:val="105"/>
        </w:rPr>
        <w:t> </w:t>
      </w:r>
      <w:r>
        <w:rPr>
          <w:color w:val="231F20"/>
          <w:w w:val="105"/>
        </w:rPr>
        <w:t>to</w:t>
      </w:r>
      <w:r>
        <w:rPr>
          <w:color w:val="231F20"/>
          <w:spacing w:val="-12"/>
          <w:w w:val="105"/>
        </w:rPr>
        <w:t> </w:t>
      </w:r>
      <w:r>
        <w:rPr>
          <w:color w:val="231F20"/>
          <w:w w:val="105"/>
        </w:rPr>
        <w:t>add</w:t>
      </w:r>
      <w:r>
        <w:rPr>
          <w:color w:val="231F20"/>
          <w:spacing w:val="-12"/>
          <w:w w:val="105"/>
        </w:rPr>
        <w:t> </w:t>
      </w:r>
      <w:r>
        <w:rPr>
          <w:color w:val="231F20"/>
          <w:w w:val="105"/>
        </w:rPr>
        <w:t>additional</w:t>
      </w:r>
      <w:r>
        <w:rPr>
          <w:color w:val="231F20"/>
          <w:spacing w:val="-12"/>
          <w:w w:val="105"/>
        </w:rPr>
        <w:t> </w:t>
      </w:r>
      <w:r>
        <w:rPr>
          <w:color w:val="231F20"/>
          <w:w w:val="105"/>
        </w:rPr>
        <w:t>directors</w:t>
      </w:r>
      <w:r>
        <w:rPr>
          <w:color w:val="231F20"/>
          <w:spacing w:val="-12"/>
          <w:w w:val="105"/>
        </w:rPr>
        <w:t> </w:t>
      </w:r>
      <w:r>
        <w:rPr>
          <w:color w:val="231F20"/>
          <w:w w:val="105"/>
        </w:rPr>
        <w:t>to</w:t>
      </w:r>
      <w:r>
        <w:rPr>
          <w:color w:val="231F20"/>
          <w:spacing w:val="-12"/>
          <w:w w:val="105"/>
        </w:rPr>
        <w:t> </w:t>
      </w:r>
      <w:r>
        <w:rPr>
          <w:color w:val="231F20"/>
          <w:w w:val="105"/>
        </w:rPr>
        <w:t>the</w:t>
      </w:r>
      <w:r>
        <w:rPr>
          <w:color w:val="231F20"/>
          <w:spacing w:val="-12"/>
          <w:w w:val="105"/>
        </w:rPr>
        <w:t> </w:t>
      </w:r>
      <w:r>
        <w:rPr>
          <w:color w:val="231F20"/>
          <w:w w:val="105"/>
        </w:rPr>
        <w:t>Board.</w:t>
      </w:r>
      <w:r>
        <w:rPr>
          <w:color w:val="231F20"/>
          <w:spacing w:val="-13"/>
          <w:w w:val="105"/>
        </w:rPr>
        <w:t> </w:t>
      </w:r>
      <w:r>
        <w:rPr>
          <w:color w:val="231F20"/>
          <w:spacing w:val="-3"/>
          <w:w w:val="105"/>
        </w:rPr>
        <w:t>Specifically,</w:t>
      </w:r>
      <w:r>
        <w:rPr>
          <w:color w:val="231F20"/>
          <w:spacing w:val="-12"/>
          <w:w w:val="105"/>
        </w:rPr>
        <w:t> </w:t>
      </w:r>
      <w:r>
        <w:rPr>
          <w:color w:val="231F20"/>
          <w:w w:val="105"/>
        </w:rPr>
        <w:t>we</w:t>
      </w:r>
      <w:r>
        <w:rPr>
          <w:color w:val="231F20"/>
          <w:spacing w:val="-12"/>
          <w:w w:val="105"/>
        </w:rPr>
        <w:t> </w:t>
      </w:r>
      <w:r>
        <w:rPr>
          <w:color w:val="231F20"/>
          <w:w w:val="105"/>
        </w:rPr>
        <w:t>are</w:t>
      </w:r>
      <w:r>
        <w:rPr>
          <w:color w:val="231F20"/>
          <w:spacing w:val="-12"/>
          <w:w w:val="105"/>
        </w:rPr>
        <w:t> </w:t>
      </w:r>
      <w:r>
        <w:rPr>
          <w:color w:val="231F20"/>
          <w:w w:val="105"/>
        </w:rPr>
        <w:t>proposing to amend Article 32 as follows (additions are underlined, deletions are struck</w:t>
      </w:r>
      <w:r>
        <w:rPr>
          <w:color w:val="231F20"/>
          <w:spacing w:val="-30"/>
          <w:w w:val="105"/>
        </w:rPr>
        <w:t> </w:t>
      </w:r>
      <w:r>
        <w:rPr>
          <w:color w:val="231F20"/>
          <w:w w:val="105"/>
        </w:rPr>
        <w:t>through):</w:t>
      </w:r>
    </w:p>
    <w:p>
      <w:pPr>
        <w:pStyle w:val="BodyText"/>
        <w:spacing w:before="162"/>
        <w:ind w:left="1090"/>
      </w:pPr>
      <w:r>
        <w:rPr>
          <w:color w:val="231F20"/>
          <w:w w:val="105"/>
        </w:rPr>
        <w:t>“32. </w:t>
      </w:r>
      <w:r>
        <w:rPr>
          <w:color w:val="231F20"/>
          <w:w w:val="105"/>
          <w:u w:val="single" w:color="231F20"/>
        </w:rPr>
        <w:t>Number of Directors</w:t>
      </w:r>
    </w:p>
    <w:p>
      <w:pPr>
        <w:pStyle w:val="BodyText"/>
        <w:spacing w:line="244" w:lineRule="auto" w:before="165"/>
        <w:ind w:left="1090" w:right="1322" w:firstLine="399"/>
      </w:pPr>
      <w:r>
        <w:rPr>
          <w:color w:val="231F20"/>
          <w:w w:val="105"/>
        </w:rPr>
        <w:t>Until otherwise determined by resolution of the company’s shareholders, the Board of Directors shall consist of not less than three (3) nor more than </w:t>
      </w:r>
      <w:r>
        <w:rPr>
          <w:strike/>
          <w:color w:val="231F20"/>
          <w:w w:val="105"/>
        </w:rPr>
        <w:t>nine (9)</w:t>
      </w:r>
      <w:r>
        <w:rPr>
          <w:strike w:val="0"/>
          <w:color w:val="231F20"/>
          <w:w w:val="105"/>
        </w:rPr>
        <w:t> </w:t>
      </w:r>
      <w:r>
        <w:rPr>
          <w:strike w:val="0"/>
          <w:color w:val="231F20"/>
          <w:w w:val="105"/>
          <w:u w:val="single" w:color="231F20"/>
        </w:rPr>
        <w:t>ten (10)</w:t>
      </w:r>
      <w:r>
        <w:rPr>
          <w:strike w:val="0"/>
          <w:color w:val="231F20"/>
          <w:w w:val="105"/>
        </w:rPr>
        <w:t> Directors, including two (2) Independent Directors.”</w:t>
      </w:r>
    </w:p>
    <w:p>
      <w:pPr>
        <w:pStyle w:val="BodyText"/>
        <w:rPr>
          <w:sz w:val="21"/>
        </w:rPr>
      </w:pPr>
    </w:p>
    <w:p>
      <w:pPr>
        <w:pStyle w:val="Heading2"/>
        <w:spacing w:before="1"/>
      </w:pPr>
      <w:r>
        <w:rPr>
          <w:color w:val="231F20"/>
        </w:rPr>
        <w:t>Proposed Resolution</w:t>
      </w:r>
    </w:p>
    <w:p>
      <w:pPr>
        <w:pStyle w:val="BodyText"/>
        <w:spacing w:before="169"/>
        <w:ind w:left="1489"/>
      </w:pPr>
      <w:r>
        <w:rPr>
          <w:color w:val="231F20"/>
          <w:w w:val="110"/>
        </w:rPr>
        <w:t>You are requested to adopt the following resolution:</w:t>
      </w:r>
    </w:p>
    <w:p>
      <w:pPr>
        <w:pStyle w:val="BodyText"/>
        <w:spacing w:line="244" w:lineRule="auto" w:before="165"/>
        <w:ind w:left="1090" w:right="1322" w:firstLine="399"/>
      </w:pPr>
      <w:r>
        <w:rPr>
          <w:color w:val="231F20"/>
          <w:w w:val="105"/>
        </w:rPr>
        <w:t>“1. RESOLVED, to amend Article 32 of the Company’s Amended and Restated Articles of Association to increase the maximum number of directors who can serve on the Board at any one time from nine (9) to ten (10), with such changes thereto as described in Proposal 1 of the Proxy Statement.”</w:t>
      </w:r>
    </w:p>
    <w:p>
      <w:pPr>
        <w:pStyle w:val="BodyText"/>
        <w:rPr>
          <w:sz w:val="21"/>
        </w:rPr>
      </w:pPr>
    </w:p>
    <w:p>
      <w:pPr>
        <w:pStyle w:val="Heading2"/>
        <w:spacing w:before="1"/>
      </w:pPr>
      <w:r>
        <w:rPr>
          <w:color w:val="231F20"/>
        </w:rPr>
        <w:t>Vote Required</w:t>
      </w:r>
    </w:p>
    <w:p>
      <w:pPr>
        <w:pStyle w:val="BodyText"/>
        <w:spacing w:before="169"/>
        <w:ind w:left="1489"/>
      </w:pPr>
      <w:r>
        <w:rPr>
          <w:color w:val="231F20"/>
          <w:w w:val="105"/>
        </w:rPr>
        <w:t>The affirmative vote of an Ordinary Majority is required to adopt the foregoing resolution.</w:t>
      </w:r>
    </w:p>
    <w:p>
      <w:pPr>
        <w:pStyle w:val="BodyText"/>
        <w:spacing w:before="3"/>
        <w:rPr>
          <w:sz w:val="21"/>
        </w:rPr>
      </w:pPr>
    </w:p>
    <w:p>
      <w:pPr>
        <w:pStyle w:val="Heading2"/>
      </w:pPr>
      <w:r>
        <w:rPr>
          <w:color w:val="231F20"/>
        </w:rPr>
        <w:t>Board Recommendation</w:t>
      </w:r>
    </w:p>
    <w:p>
      <w:pPr>
        <w:pStyle w:val="BodyText"/>
        <w:spacing w:line="244" w:lineRule="auto" w:before="169"/>
        <w:ind w:left="1090" w:right="1705" w:firstLine="399"/>
      </w:pPr>
      <w:r>
        <w:rPr>
          <w:color w:val="231F20"/>
          <w:w w:val="110"/>
        </w:rPr>
        <w:t>THE</w:t>
      </w:r>
      <w:r>
        <w:rPr>
          <w:color w:val="231F20"/>
          <w:spacing w:val="-13"/>
          <w:w w:val="110"/>
        </w:rPr>
        <w:t> </w:t>
      </w:r>
      <w:r>
        <w:rPr>
          <w:color w:val="231F20"/>
          <w:w w:val="110"/>
        </w:rPr>
        <w:t>BOARD</w:t>
      </w:r>
      <w:r>
        <w:rPr>
          <w:color w:val="231F20"/>
          <w:spacing w:val="-12"/>
          <w:w w:val="110"/>
        </w:rPr>
        <w:t> </w:t>
      </w:r>
      <w:r>
        <w:rPr>
          <w:color w:val="231F20"/>
          <w:w w:val="110"/>
        </w:rPr>
        <w:t>OF</w:t>
      </w:r>
      <w:r>
        <w:rPr>
          <w:color w:val="231F20"/>
          <w:spacing w:val="-12"/>
          <w:w w:val="110"/>
        </w:rPr>
        <w:t> </w:t>
      </w:r>
      <w:r>
        <w:rPr>
          <w:color w:val="231F20"/>
          <w:w w:val="110"/>
        </w:rPr>
        <w:t>DIRECTORS</w:t>
      </w:r>
      <w:r>
        <w:rPr>
          <w:color w:val="231F20"/>
          <w:spacing w:val="-12"/>
          <w:w w:val="110"/>
        </w:rPr>
        <w:t> </w:t>
      </w:r>
      <w:r>
        <w:rPr>
          <w:color w:val="231F20"/>
          <w:w w:val="110"/>
        </w:rPr>
        <w:t>RECOMMENDS</w:t>
      </w:r>
      <w:r>
        <w:rPr>
          <w:color w:val="231F20"/>
          <w:spacing w:val="-12"/>
          <w:w w:val="110"/>
        </w:rPr>
        <w:t> </w:t>
      </w:r>
      <w:r>
        <w:rPr>
          <w:color w:val="231F20"/>
          <w:w w:val="110"/>
        </w:rPr>
        <w:t>A</w:t>
      </w:r>
      <w:r>
        <w:rPr>
          <w:color w:val="231F20"/>
          <w:spacing w:val="-12"/>
          <w:w w:val="110"/>
        </w:rPr>
        <w:t> </w:t>
      </w:r>
      <w:r>
        <w:rPr>
          <w:color w:val="231F20"/>
          <w:spacing w:val="-4"/>
          <w:w w:val="110"/>
        </w:rPr>
        <w:t>VOTE</w:t>
      </w:r>
      <w:r>
        <w:rPr>
          <w:color w:val="231F20"/>
          <w:spacing w:val="-12"/>
          <w:w w:val="110"/>
        </w:rPr>
        <w:t> </w:t>
      </w:r>
      <w:r>
        <w:rPr>
          <w:color w:val="231F20"/>
          <w:w w:val="110"/>
        </w:rPr>
        <w:t>“</w:t>
      </w:r>
      <w:r>
        <w:rPr>
          <w:b/>
          <w:color w:val="231F20"/>
          <w:w w:val="110"/>
        </w:rPr>
        <w:t>FOR</w:t>
      </w:r>
      <w:r>
        <w:rPr>
          <w:color w:val="231F20"/>
          <w:w w:val="110"/>
        </w:rPr>
        <w:t>”</w:t>
      </w:r>
      <w:r>
        <w:rPr>
          <w:color w:val="231F20"/>
          <w:spacing w:val="-22"/>
          <w:w w:val="110"/>
        </w:rPr>
        <w:t> </w:t>
      </w:r>
      <w:r>
        <w:rPr>
          <w:color w:val="231F20"/>
          <w:w w:val="110"/>
        </w:rPr>
        <w:t>THE</w:t>
      </w:r>
      <w:r>
        <w:rPr>
          <w:color w:val="231F20"/>
          <w:spacing w:val="-12"/>
          <w:w w:val="110"/>
        </w:rPr>
        <w:t> </w:t>
      </w:r>
      <w:r>
        <w:rPr>
          <w:color w:val="231F20"/>
          <w:w w:val="110"/>
        </w:rPr>
        <w:t>ADOPTION</w:t>
      </w:r>
      <w:r>
        <w:rPr>
          <w:color w:val="231F20"/>
          <w:spacing w:val="-12"/>
          <w:w w:val="110"/>
        </w:rPr>
        <w:t> </w:t>
      </w:r>
      <w:r>
        <w:rPr>
          <w:color w:val="231F20"/>
          <w:w w:val="110"/>
        </w:rPr>
        <w:t>OF</w:t>
      </w:r>
      <w:r>
        <w:rPr>
          <w:color w:val="231F20"/>
          <w:spacing w:val="-12"/>
          <w:w w:val="110"/>
        </w:rPr>
        <w:t> </w:t>
      </w:r>
      <w:r>
        <w:rPr>
          <w:color w:val="231F20"/>
          <w:w w:val="110"/>
        </w:rPr>
        <w:t>THE FOREGOING</w:t>
      </w:r>
      <w:r>
        <w:rPr>
          <w:color w:val="231F20"/>
          <w:spacing w:val="-6"/>
          <w:w w:val="110"/>
        </w:rPr>
        <w:t> </w:t>
      </w:r>
      <w:r>
        <w:rPr>
          <w:color w:val="231F20"/>
          <w:spacing w:val="-3"/>
          <w:w w:val="110"/>
        </w:rPr>
        <w:t>RESOLUTION.</w:t>
      </w:r>
    </w:p>
    <w:p>
      <w:pPr>
        <w:pStyle w:val="BodyText"/>
        <w:spacing w:before="11"/>
        <w:rPr>
          <w:sz w:val="11"/>
        </w:rPr>
      </w:pPr>
    </w:p>
    <w:p>
      <w:pPr>
        <w:spacing w:before="104"/>
        <w:ind w:left="1720" w:right="2017" w:firstLine="0"/>
        <w:jc w:val="center"/>
        <w:rPr>
          <w:b/>
          <w:sz w:val="20"/>
        </w:rPr>
      </w:pPr>
      <w:r>
        <w:rPr>
          <w:b/>
          <w:color w:val="231F20"/>
          <w:sz w:val="20"/>
          <w:u w:val="single" w:color="231F20"/>
        </w:rPr>
        <w:t>PROPOSAL 2</w:t>
      </w:r>
    </w:p>
    <w:p>
      <w:pPr>
        <w:spacing w:before="126"/>
        <w:ind w:left="1721" w:right="2017" w:firstLine="0"/>
        <w:jc w:val="center"/>
        <w:rPr>
          <w:b/>
          <w:sz w:val="20"/>
        </w:rPr>
      </w:pPr>
      <w:r>
        <w:rPr>
          <w:b/>
          <w:color w:val="231F20"/>
          <w:sz w:val="20"/>
        </w:rPr>
        <w:t>REELECTION OF SIX CURRENT DIRECTORS</w:t>
      </w:r>
    </w:p>
    <w:p>
      <w:pPr>
        <w:pStyle w:val="BodyText"/>
        <w:spacing w:before="7"/>
        <w:rPr>
          <w:b/>
          <w:sz w:val="21"/>
        </w:rPr>
      </w:pPr>
    </w:p>
    <w:p>
      <w:pPr>
        <w:pStyle w:val="Heading2"/>
      </w:pPr>
      <w:r>
        <w:rPr>
          <w:color w:val="231F20"/>
        </w:rPr>
        <w:t>Background</w:t>
      </w:r>
    </w:p>
    <w:p>
      <w:pPr>
        <w:pStyle w:val="BodyText"/>
        <w:spacing w:before="169"/>
        <w:ind w:left="1489"/>
      </w:pPr>
      <w:r>
        <w:rPr>
          <w:color w:val="231F20"/>
          <w:w w:val="105"/>
        </w:rPr>
        <w:t>Our Board currently consists of six directors and two external directors.</w:t>
      </w:r>
    </w:p>
    <w:p>
      <w:pPr>
        <w:pStyle w:val="BodyText"/>
        <w:spacing w:line="244" w:lineRule="auto" w:before="165"/>
        <w:ind w:left="1090" w:right="1322" w:firstLine="399"/>
      </w:pPr>
      <w:r>
        <w:rPr>
          <w:color w:val="231F20"/>
          <w:w w:val="105"/>
        </w:rPr>
        <w:t>At each annual meeting of our shareholders, our directors (other than our external directors, who are elected for terms of three years each) are elected or reelected for a term of office that expires at the next annual meeting following such election or reelection.</w:t>
      </w:r>
    </w:p>
    <w:p>
      <w:pPr>
        <w:pStyle w:val="BodyText"/>
        <w:spacing w:line="247" w:lineRule="auto" w:before="163"/>
        <w:ind w:left="1090" w:right="1392" w:firstLine="399"/>
      </w:pPr>
      <w:r>
        <w:rPr>
          <w:color w:val="231F20"/>
          <w:w w:val="105"/>
        </w:rPr>
        <w:t>Each of our current director-nominees (as listed below) has consented to being named in this </w:t>
      </w:r>
      <w:r>
        <w:rPr>
          <w:color w:val="231F20"/>
          <w:spacing w:val="-3"/>
          <w:w w:val="105"/>
        </w:rPr>
        <w:t>Proxy </w:t>
      </w:r>
      <w:r>
        <w:rPr>
          <w:color w:val="231F20"/>
          <w:w w:val="105"/>
        </w:rPr>
        <w:t>Statement and to serve if elected and has advised us that he or she has the qualifications and time required </w:t>
      </w:r>
      <w:r>
        <w:rPr>
          <w:color w:val="231F20"/>
          <w:spacing w:val="-3"/>
          <w:w w:val="105"/>
        </w:rPr>
        <w:t>for</w:t>
      </w:r>
      <w:r>
        <w:rPr>
          <w:color w:val="231F20"/>
          <w:spacing w:val="-6"/>
          <w:w w:val="105"/>
        </w:rPr>
        <w:t> </w:t>
      </w:r>
      <w:r>
        <w:rPr>
          <w:color w:val="231F20"/>
          <w:w w:val="105"/>
        </w:rPr>
        <w:t>the</w:t>
      </w:r>
      <w:r>
        <w:rPr>
          <w:color w:val="231F20"/>
          <w:spacing w:val="-5"/>
          <w:w w:val="105"/>
        </w:rPr>
        <w:t> </w:t>
      </w:r>
      <w:r>
        <w:rPr>
          <w:color w:val="231F20"/>
          <w:w w:val="105"/>
        </w:rPr>
        <w:t>performance</w:t>
      </w:r>
      <w:r>
        <w:rPr>
          <w:color w:val="231F20"/>
          <w:spacing w:val="-5"/>
          <w:w w:val="105"/>
        </w:rPr>
        <w:t> </w:t>
      </w:r>
      <w:r>
        <w:rPr>
          <w:color w:val="231F20"/>
          <w:w w:val="105"/>
        </w:rPr>
        <w:t>of</w:t>
      </w:r>
      <w:r>
        <w:rPr>
          <w:color w:val="231F20"/>
          <w:spacing w:val="17"/>
          <w:w w:val="105"/>
        </w:rPr>
        <w:t> </w:t>
      </w:r>
      <w:r>
        <w:rPr>
          <w:color w:val="231F20"/>
          <w:w w:val="105"/>
        </w:rPr>
        <w:t>his</w:t>
      </w:r>
      <w:r>
        <w:rPr>
          <w:color w:val="231F20"/>
          <w:spacing w:val="-5"/>
          <w:w w:val="105"/>
        </w:rPr>
        <w:t> </w:t>
      </w:r>
      <w:r>
        <w:rPr>
          <w:color w:val="231F20"/>
          <w:w w:val="105"/>
        </w:rPr>
        <w:t>or</w:t>
      </w:r>
      <w:r>
        <w:rPr>
          <w:color w:val="231F20"/>
          <w:spacing w:val="-5"/>
          <w:w w:val="105"/>
        </w:rPr>
        <w:t> </w:t>
      </w:r>
      <w:r>
        <w:rPr>
          <w:color w:val="231F20"/>
          <w:w w:val="105"/>
        </w:rPr>
        <w:t>her</w:t>
      </w:r>
      <w:r>
        <w:rPr>
          <w:color w:val="231F20"/>
          <w:spacing w:val="-6"/>
          <w:w w:val="105"/>
        </w:rPr>
        <w:t> </w:t>
      </w:r>
      <w:r>
        <w:rPr>
          <w:color w:val="231F20"/>
          <w:w w:val="105"/>
        </w:rPr>
        <w:t>duties</w:t>
      </w:r>
      <w:r>
        <w:rPr>
          <w:color w:val="231F20"/>
          <w:spacing w:val="-5"/>
          <w:w w:val="105"/>
        </w:rPr>
        <w:t> </w:t>
      </w:r>
      <w:r>
        <w:rPr>
          <w:color w:val="231F20"/>
          <w:w w:val="105"/>
        </w:rPr>
        <w:t>as</w:t>
      </w:r>
      <w:r>
        <w:rPr>
          <w:color w:val="231F20"/>
          <w:spacing w:val="-5"/>
          <w:w w:val="105"/>
        </w:rPr>
        <w:t> </w:t>
      </w:r>
      <w:r>
        <w:rPr>
          <w:color w:val="231F20"/>
          <w:w w:val="105"/>
        </w:rPr>
        <w:t>a</w:t>
      </w:r>
      <w:r>
        <w:rPr>
          <w:color w:val="231F20"/>
          <w:spacing w:val="-5"/>
          <w:w w:val="105"/>
        </w:rPr>
        <w:t> </w:t>
      </w:r>
      <w:r>
        <w:rPr>
          <w:color w:val="231F20"/>
          <w:spacing w:val="-3"/>
          <w:w w:val="105"/>
        </w:rPr>
        <w:t>director,</w:t>
      </w:r>
      <w:r>
        <w:rPr>
          <w:color w:val="231F20"/>
          <w:spacing w:val="-5"/>
          <w:w w:val="105"/>
        </w:rPr>
        <w:t> </w:t>
      </w:r>
      <w:r>
        <w:rPr>
          <w:color w:val="231F20"/>
          <w:w w:val="105"/>
        </w:rPr>
        <w:t>and</w:t>
      </w:r>
      <w:r>
        <w:rPr>
          <w:color w:val="231F20"/>
          <w:spacing w:val="-5"/>
          <w:w w:val="105"/>
        </w:rPr>
        <w:t> </w:t>
      </w:r>
      <w:r>
        <w:rPr>
          <w:color w:val="231F20"/>
          <w:w w:val="105"/>
        </w:rPr>
        <w:t>that</w:t>
      </w:r>
      <w:r>
        <w:rPr>
          <w:color w:val="231F20"/>
          <w:spacing w:val="-5"/>
          <w:w w:val="105"/>
        </w:rPr>
        <w:t> </w:t>
      </w:r>
      <w:r>
        <w:rPr>
          <w:color w:val="231F20"/>
          <w:w w:val="105"/>
        </w:rPr>
        <w:t>there</w:t>
      </w:r>
      <w:r>
        <w:rPr>
          <w:color w:val="231F20"/>
          <w:spacing w:val="-6"/>
          <w:w w:val="105"/>
        </w:rPr>
        <w:t> </w:t>
      </w:r>
      <w:r>
        <w:rPr>
          <w:color w:val="231F20"/>
          <w:w w:val="105"/>
        </w:rPr>
        <w:t>are</w:t>
      </w:r>
      <w:r>
        <w:rPr>
          <w:color w:val="231F20"/>
          <w:spacing w:val="-5"/>
          <w:w w:val="105"/>
        </w:rPr>
        <w:t> </w:t>
      </w:r>
      <w:r>
        <w:rPr>
          <w:color w:val="231F20"/>
          <w:w w:val="105"/>
        </w:rPr>
        <w:t>no</w:t>
      </w:r>
      <w:r>
        <w:rPr>
          <w:color w:val="231F20"/>
          <w:spacing w:val="-5"/>
          <w:w w:val="105"/>
        </w:rPr>
        <w:t> </w:t>
      </w:r>
      <w:r>
        <w:rPr>
          <w:color w:val="231F20"/>
          <w:w w:val="105"/>
        </w:rPr>
        <w:t>legal</w:t>
      </w:r>
      <w:r>
        <w:rPr>
          <w:color w:val="231F20"/>
          <w:spacing w:val="-5"/>
          <w:w w:val="105"/>
        </w:rPr>
        <w:t> </w:t>
      </w:r>
      <w:r>
        <w:rPr>
          <w:color w:val="231F20"/>
          <w:w w:val="105"/>
        </w:rPr>
        <w:t>restrictions</w:t>
      </w:r>
      <w:r>
        <w:rPr>
          <w:color w:val="231F20"/>
          <w:spacing w:val="-5"/>
          <w:w w:val="105"/>
        </w:rPr>
        <w:t> </w:t>
      </w:r>
      <w:r>
        <w:rPr>
          <w:color w:val="231F20"/>
          <w:w w:val="105"/>
        </w:rPr>
        <w:t>preventing</w:t>
      </w:r>
      <w:r>
        <w:rPr>
          <w:color w:val="231F20"/>
          <w:spacing w:val="-5"/>
          <w:w w:val="105"/>
        </w:rPr>
        <w:t> </w:t>
      </w:r>
      <w:r>
        <w:rPr>
          <w:color w:val="231F20"/>
          <w:w w:val="105"/>
        </w:rPr>
        <w:t>him</w:t>
      </w:r>
      <w:r>
        <w:rPr>
          <w:color w:val="231F20"/>
          <w:spacing w:val="-6"/>
          <w:w w:val="105"/>
        </w:rPr>
        <w:t> </w:t>
      </w:r>
      <w:r>
        <w:rPr>
          <w:color w:val="231F20"/>
          <w:w w:val="105"/>
        </w:rPr>
        <w:t>or her from assuming such </w:t>
      </w:r>
      <w:r>
        <w:rPr>
          <w:color w:val="231F20"/>
          <w:spacing w:val="-3"/>
          <w:w w:val="105"/>
        </w:rPr>
        <w:t>office. </w:t>
      </w:r>
      <w:r>
        <w:rPr>
          <w:color w:val="231F20"/>
          <w:w w:val="105"/>
        </w:rPr>
        <w:t>Our </w:t>
      </w:r>
      <w:r>
        <w:rPr>
          <w:color w:val="231F20"/>
          <w:spacing w:val="-3"/>
          <w:w w:val="105"/>
        </w:rPr>
        <w:t>two </w:t>
      </w:r>
      <w:r>
        <w:rPr>
          <w:color w:val="231F20"/>
          <w:w w:val="105"/>
        </w:rPr>
        <w:t>external directors, </w:t>
      </w:r>
      <w:r>
        <w:rPr>
          <w:color w:val="231F20"/>
          <w:spacing w:val="-4"/>
          <w:w w:val="105"/>
        </w:rPr>
        <w:t>Yehoshua </w:t>
      </w:r>
      <w:r>
        <w:rPr>
          <w:color w:val="231F20"/>
          <w:w w:val="105"/>
        </w:rPr>
        <w:t>(Shuki) Abramovich and Dvora  Kimhi, </w:t>
      </w:r>
      <w:r>
        <w:rPr>
          <w:color w:val="231F20"/>
          <w:spacing w:val="-5"/>
          <w:w w:val="105"/>
        </w:rPr>
        <w:t>have </w:t>
      </w:r>
      <w:r>
        <w:rPr>
          <w:color w:val="231F20"/>
          <w:w w:val="105"/>
        </w:rPr>
        <w:t>terms expiring on June 28, 2026, and December 8, 2024, </w:t>
      </w:r>
      <w:r>
        <w:rPr>
          <w:color w:val="231F20"/>
          <w:spacing w:val="-3"/>
          <w:w w:val="105"/>
        </w:rPr>
        <w:t>respectively, </w:t>
      </w:r>
      <w:r>
        <w:rPr>
          <w:color w:val="231F20"/>
          <w:w w:val="105"/>
        </w:rPr>
        <w:t>and they are not up </w:t>
      </w:r>
      <w:r>
        <w:rPr>
          <w:color w:val="231F20"/>
          <w:spacing w:val="-3"/>
          <w:w w:val="105"/>
        </w:rPr>
        <w:t>for </w:t>
      </w:r>
      <w:r>
        <w:rPr>
          <w:color w:val="231F20"/>
          <w:w w:val="105"/>
        </w:rPr>
        <w:t>reelection </w:t>
      </w:r>
      <w:r>
        <w:rPr>
          <w:color w:val="231F20"/>
          <w:spacing w:val="-3"/>
          <w:w w:val="105"/>
        </w:rPr>
        <w:t>at </w:t>
      </w:r>
      <w:r>
        <w:rPr>
          <w:color w:val="231F20"/>
          <w:w w:val="105"/>
        </w:rPr>
        <w:t>the</w:t>
      </w:r>
      <w:r>
        <w:rPr>
          <w:color w:val="231F20"/>
          <w:spacing w:val="-8"/>
          <w:w w:val="105"/>
        </w:rPr>
        <w:t> </w:t>
      </w:r>
      <w:r>
        <w:rPr>
          <w:color w:val="231F20"/>
          <w:w w:val="105"/>
        </w:rPr>
        <w:t>Meeting.</w:t>
      </w:r>
    </w:p>
    <w:p>
      <w:pPr>
        <w:pStyle w:val="BodyText"/>
        <w:spacing w:before="11"/>
      </w:pPr>
    </w:p>
    <w:p>
      <w:pPr>
        <w:pStyle w:val="Heading2"/>
      </w:pPr>
      <w:r>
        <w:rPr>
          <w:color w:val="231F20"/>
        </w:rPr>
        <w:t>Current Director-Nominees</w:t>
      </w:r>
    </w:p>
    <w:p>
      <w:pPr>
        <w:pStyle w:val="BodyText"/>
        <w:spacing w:line="247" w:lineRule="auto" w:before="169"/>
        <w:ind w:left="1090" w:right="1505" w:firstLine="399"/>
      </w:pPr>
      <w:r>
        <w:rPr>
          <w:i/>
          <w:color w:val="231F20"/>
          <w:spacing w:val="-7"/>
          <w:w w:val="105"/>
        </w:rPr>
        <w:t>Mr. </w:t>
      </w:r>
      <w:r>
        <w:rPr>
          <w:i/>
          <w:color w:val="231F20"/>
          <w:spacing w:val="-4"/>
          <w:w w:val="105"/>
        </w:rPr>
        <w:t>Yariv </w:t>
      </w:r>
      <w:r>
        <w:rPr>
          <w:i/>
          <w:color w:val="231F20"/>
          <w:spacing w:val="-3"/>
          <w:w w:val="105"/>
        </w:rPr>
        <w:t>Alroy </w:t>
      </w:r>
      <w:r>
        <w:rPr>
          <w:color w:val="231F20"/>
          <w:w w:val="105"/>
        </w:rPr>
        <w:t>joined the Board of Directors of SHL as a non-executive Director in December 2018. </w:t>
      </w:r>
      <w:r>
        <w:rPr>
          <w:color w:val="231F20"/>
          <w:spacing w:val="-5"/>
          <w:w w:val="105"/>
        </w:rPr>
        <w:t>Mr. Yariv </w:t>
      </w:r>
      <w:r>
        <w:rPr>
          <w:color w:val="231F20"/>
          <w:spacing w:val="-3"/>
          <w:w w:val="105"/>
        </w:rPr>
        <w:t>Alroy </w:t>
      </w:r>
      <w:r>
        <w:rPr>
          <w:color w:val="231F20"/>
          <w:w w:val="105"/>
        </w:rPr>
        <w:t>served as the </w:t>
      </w:r>
      <w:r>
        <w:rPr>
          <w:color w:val="231F20"/>
          <w:spacing w:val="-3"/>
          <w:w w:val="105"/>
        </w:rPr>
        <w:t>Company’s </w:t>
      </w:r>
      <w:r>
        <w:rPr>
          <w:color w:val="231F20"/>
          <w:w w:val="105"/>
        </w:rPr>
        <w:t>Co-CEO from 2000 to </w:t>
      </w:r>
      <w:r>
        <w:rPr>
          <w:color w:val="231F20"/>
          <w:spacing w:val="-3"/>
          <w:w w:val="105"/>
        </w:rPr>
        <w:t>January </w:t>
      </w:r>
      <w:r>
        <w:rPr>
          <w:color w:val="231F20"/>
          <w:w w:val="105"/>
        </w:rPr>
        <w:t>15, 2016. He previously served as</w:t>
      </w:r>
    </w:p>
    <w:p>
      <w:pPr>
        <w:spacing w:after="0" w:line="247" w:lineRule="auto"/>
        <w:sectPr>
          <w:type w:val="continuous"/>
          <w:pgSz w:w="11880" w:h="15480"/>
          <w:pgMar w:top="700" w:bottom="280" w:left="300" w:right="0"/>
        </w:sectPr>
      </w:pPr>
    </w:p>
    <w:p>
      <w:pPr>
        <w:pStyle w:val="BodyText"/>
        <w:spacing w:line="244" w:lineRule="auto" w:before="87"/>
        <w:ind w:left="1090" w:right="1433"/>
      </w:pPr>
      <w:r>
        <w:rPr>
          <w:color w:val="231F20"/>
          <w:w w:val="110"/>
        </w:rPr>
        <w:t>managing</w:t>
      </w:r>
      <w:r>
        <w:rPr>
          <w:color w:val="231F20"/>
          <w:spacing w:val="-28"/>
          <w:w w:val="110"/>
        </w:rPr>
        <w:t> </w:t>
      </w:r>
      <w:r>
        <w:rPr>
          <w:color w:val="231F20"/>
          <w:w w:val="110"/>
        </w:rPr>
        <w:t>director</w:t>
      </w:r>
      <w:r>
        <w:rPr>
          <w:color w:val="231F20"/>
          <w:spacing w:val="-28"/>
          <w:w w:val="110"/>
        </w:rPr>
        <w:t> </w:t>
      </w:r>
      <w:r>
        <w:rPr>
          <w:color w:val="231F20"/>
          <w:w w:val="110"/>
        </w:rPr>
        <w:t>of</w:t>
      </w:r>
      <w:r>
        <w:rPr>
          <w:color w:val="231F20"/>
          <w:spacing w:val="-17"/>
          <w:w w:val="110"/>
        </w:rPr>
        <w:t> </w:t>
      </w:r>
      <w:r>
        <w:rPr>
          <w:color w:val="231F20"/>
          <w:w w:val="110"/>
        </w:rPr>
        <w:t>SHL</w:t>
      </w:r>
      <w:r>
        <w:rPr>
          <w:color w:val="231F20"/>
          <w:spacing w:val="-28"/>
          <w:w w:val="110"/>
        </w:rPr>
        <w:t> </w:t>
      </w:r>
      <w:r>
        <w:rPr>
          <w:color w:val="231F20"/>
          <w:w w:val="110"/>
        </w:rPr>
        <w:t>Telemedicine</w:t>
      </w:r>
      <w:r>
        <w:rPr>
          <w:color w:val="231F20"/>
          <w:spacing w:val="-27"/>
          <w:w w:val="110"/>
        </w:rPr>
        <w:t> </w:t>
      </w:r>
      <w:r>
        <w:rPr>
          <w:color w:val="231F20"/>
          <w:w w:val="110"/>
        </w:rPr>
        <w:t>International</w:t>
      </w:r>
      <w:r>
        <w:rPr>
          <w:color w:val="231F20"/>
          <w:spacing w:val="-28"/>
          <w:w w:val="110"/>
        </w:rPr>
        <w:t> </w:t>
      </w:r>
      <w:r>
        <w:rPr>
          <w:color w:val="231F20"/>
          <w:w w:val="110"/>
        </w:rPr>
        <w:t>Ltd</w:t>
      </w:r>
      <w:r>
        <w:rPr>
          <w:color w:val="231F20"/>
          <w:spacing w:val="-27"/>
          <w:w w:val="110"/>
        </w:rPr>
        <w:t> </w:t>
      </w:r>
      <w:r>
        <w:rPr>
          <w:color w:val="231F20"/>
          <w:w w:val="110"/>
        </w:rPr>
        <w:t>from</w:t>
      </w:r>
      <w:r>
        <w:rPr>
          <w:color w:val="231F20"/>
          <w:spacing w:val="-28"/>
          <w:w w:val="110"/>
        </w:rPr>
        <w:t> </w:t>
      </w:r>
      <w:r>
        <w:rPr>
          <w:color w:val="231F20"/>
          <w:w w:val="110"/>
        </w:rPr>
        <w:t>1997</w:t>
      </w:r>
      <w:r>
        <w:rPr>
          <w:color w:val="231F20"/>
          <w:spacing w:val="-28"/>
          <w:w w:val="110"/>
        </w:rPr>
        <w:t> </w:t>
      </w:r>
      <w:r>
        <w:rPr>
          <w:color w:val="231F20"/>
          <w:w w:val="110"/>
        </w:rPr>
        <w:t>to</w:t>
      </w:r>
      <w:r>
        <w:rPr>
          <w:color w:val="231F20"/>
          <w:spacing w:val="-27"/>
          <w:w w:val="110"/>
        </w:rPr>
        <w:t> </w:t>
      </w:r>
      <w:r>
        <w:rPr>
          <w:color w:val="231F20"/>
          <w:w w:val="110"/>
        </w:rPr>
        <w:t>2000</w:t>
      </w:r>
      <w:r>
        <w:rPr>
          <w:color w:val="231F20"/>
          <w:spacing w:val="-28"/>
          <w:w w:val="110"/>
        </w:rPr>
        <w:t> </w:t>
      </w:r>
      <w:r>
        <w:rPr>
          <w:color w:val="231F20"/>
          <w:w w:val="110"/>
        </w:rPr>
        <w:t>and</w:t>
      </w:r>
      <w:r>
        <w:rPr>
          <w:color w:val="231F20"/>
          <w:spacing w:val="-28"/>
          <w:w w:val="110"/>
        </w:rPr>
        <w:t> </w:t>
      </w:r>
      <w:r>
        <w:rPr>
          <w:color w:val="231F20"/>
          <w:w w:val="110"/>
        </w:rPr>
        <w:t>Chief</w:t>
      </w:r>
      <w:r>
        <w:rPr>
          <w:color w:val="231F20"/>
          <w:spacing w:val="-17"/>
          <w:w w:val="110"/>
        </w:rPr>
        <w:t> </w:t>
      </w:r>
      <w:r>
        <w:rPr>
          <w:color w:val="231F20"/>
          <w:w w:val="110"/>
        </w:rPr>
        <w:t>Operating</w:t>
      </w:r>
      <w:r>
        <w:rPr>
          <w:color w:val="231F20"/>
          <w:spacing w:val="-27"/>
          <w:w w:val="110"/>
        </w:rPr>
        <w:t> </w:t>
      </w:r>
      <w:r>
        <w:rPr>
          <w:color w:val="231F20"/>
          <w:w w:val="110"/>
        </w:rPr>
        <w:t>Officer of</w:t>
      </w:r>
      <w:r>
        <w:rPr>
          <w:color w:val="231F20"/>
          <w:spacing w:val="-4"/>
          <w:w w:val="110"/>
        </w:rPr>
        <w:t> </w:t>
      </w:r>
      <w:r>
        <w:rPr>
          <w:color w:val="231F20"/>
          <w:w w:val="110"/>
        </w:rPr>
        <w:t>the</w:t>
      </w:r>
      <w:r>
        <w:rPr>
          <w:color w:val="231F20"/>
          <w:spacing w:val="-17"/>
          <w:w w:val="110"/>
        </w:rPr>
        <w:t> </w:t>
      </w:r>
      <w:r>
        <w:rPr>
          <w:color w:val="231F20"/>
          <w:w w:val="110"/>
        </w:rPr>
        <w:t>Company</w:t>
      </w:r>
      <w:r>
        <w:rPr>
          <w:color w:val="231F20"/>
          <w:spacing w:val="-16"/>
          <w:w w:val="110"/>
        </w:rPr>
        <w:t> </w:t>
      </w:r>
      <w:r>
        <w:rPr>
          <w:color w:val="231F20"/>
          <w:w w:val="110"/>
        </w:rPr>
        <w:t>from</w:t>
      </w:r>
      <w:r>
        <w:rPr>
          <w:color w:val="231F20"/>
          <w:spacing w:val="-17"/>
          <w:w w:val="110"/>
        </w:rPr>
        <w:t> </w:t>
      </w:r>
      <w:r>
        <w:rPr>
          <w:color w:val="231F20"/>
          <w:w w:val="110"/>
        </w:rPr>
        <w:t>1993</w:t>
      </w:r>
      <w:r>
        <w:rPr>
          <w:color w:val="231F20"/>
          <w:spacing w:val="-16"/>
          <w:w w:val="110"/>
        </w:rPr>
        <w:t> </w:t>
      </w:r>
      <w:r>
        <w:rPr>
          <w:color w:val="231F20"/>
          <w:w w:val="110"/>
        </w:rPr>
        <w:t>to</w:t>
      </w:r>
      <w:r>
        <w:rPr>
          <w:color w:val="231F20"/>
          <w:spacing w:val="-16"/>
          <w:w w:val="110"/>
        </w:rPr>
        <w:t> </w:t>
      </w:r>
      <w:r>
        <w:rPr>
          <w:color w:val="231F20"/>
          <w:w w:val="110"/>
        </w:rPr>
        <w:t>1997.</w:t>
      </w:r>
      <w:r>
        <w:rPr>
          <w:color w:val="231F20"/>
          <w:spacing w:val="-17"/>
          <w:w w:val="110"/>
        </w:rPr>
        <w:t> </w:t>
      </w:r>
      <w:r>
        <w:rPr>
          <w:color w:val="231F20"/>
          <w:w w:val="110"/>
        </w:rPr>
        <w:t>He</w:t>
      </w:r>
      <w:r>
        <w:rPr>
          <w:color w:val="231F20"/>
          <w:spacing w:val="-16"/>
          <w:w w:val="110"/>
        </w:rPr>
        <w:t> </w:t>
      </w:r>
      <w:r>
        <w:rPr>
          <w:color w:val="231F20"/>
          <w:spacing w:val="-3"/>
          <w:w w:val="110"/>
        </w:rPr>
        <w:t>also</w:t>
      </w:r>
      <w:r>
        <w:rPr>
          <w:color w:val="231F20"/>
          <w:spacing w:val="-17"/>
          <w:w w:val="110"/>
        </w:rPr>
        <w:t> </w:t>
      </w:r>
      <w:r>
        <w:rPr>
          <w:color w:val="231F20"/>
          <w:w w:val="110"/>
        </w:rPr>
        <w:t>previously</w:t>
      </w:r>
      <w:r>
        <w:rPr>
          <w:color w:val="231F20"/>
          <w:spacing w:val="-16"/>
          <w:w w:val="110"/>
        </w:rPr>
        <w:t> </w:t>
      </w:r>
      <w:r>
        <w:rPr>
          <w:color w:val="231F20"/>
          <w:w w:val="110"/>
        </w:rPr>
        <w:t>served</w:t>
      </w:r>
      <w:r>
        <w:rPr>
          <w:color w:val="231F20"/>
          <w:spacing w:val="-17"/>
          <w:w w:val="110"/>
        </w:rPr>
        <w:t> </w:t>
      </w:r>
      <w:r>
        <w:rPr>
          <w:color w:val="231F20"/>
          <w:w w:val="110"/>
        </w:rPr>
        <w:t>as</w:t>
      </w:r>
      <w:r>
        <w:rPr>
          <w:color w:val="231F20"/>
          <w:spacing w:val="-16"/>
          <w:w w:val="110"/>
        </w:rPr>
        <w:t> </w:t>
      </w:r>
      <w:r>
        <w:rPr>
          <w:color w:val="231F20"/>
          <w:w w:val="110"/>
        </w:rPr>
        <w:t>a</w:t>
      </w:r>
      <w:r>
        <w:rPr>
          <w:color w:val="231F20"/>
          <w:spacing w:val="-16"/>
          <w:w w:val="110"/>
        </w:rPr>
        <w:t> </w:t>
      </w:r>
      <w:r>
        <w:rPr>
          <w:color w:val="231F20"/>
          <w:w w:val="110"/>
        </w:rPr>
        <w:t>Member</w:t>
      </w:r>
      <w:r>
        <w:rPr>
          <w:color w:val="231F20"/>
          <w:spacing w:val="-17"/>
          <w:w w:val="110"/>
        </w:rPr>
        <w:t> </w:t>
      </w:r>
      <w:r>
        <w:rPr>
          <w:color w:val="231F20"/>
          <w:w w:val="110"/>
        </w:rPr>
        <w:t>of</w:t>
      </w:r>
      <w:r>
        <w:rPr>
          <w:color w:val="231F20"/>
          <w:spacing w:val="-4"/>
          <w:w w:val="110"/>
        </w:rPr>
        <w:t> </w:t>
      </w:r>
      <w:r>
        <w:rPr>
          <w:color w:val="231F20"/>
          <w:w w:val="110"/>
        </w:rPr>
        <w:t>the</w:t>
      </w:r>
      <w:r>
        <w:rPr>
          <w:color w:val="231F20"/>
          <w:spacing w:val="-16"/>
          <w:w w:val="110"/>
        </w:rPr>
        <w:t> </w:t>
      </w:r>
      <w:r>
        <w:rPr>
          <w:color w:val="231F20"/>
          <w:w w:val="110"/>
        </w:rPr>
        <w:t>Board</w:t>
      </w:r>
      <w:r>
        <w:rPr>
          <w:color w:val="231F20"/>
          <w:spacing w:val="-16"/>
          <w:w w:val="110"/>
        </w:rPr>
        <w:t> </w:t>
      </w:r>
      <w:r>
        <w:rPr>
          <w:color w:val="231F20"/>
          <w:w w:val="110"/>
        </w:rPr>
        <w:t>of</w:t>
      </w:r>
      <w:r>
        <w:rPr>
          <w:color w:val="231F20"/>
          <w:spacing w:val="-4"/>
          <w:w w:val="110"/>
        </w:rPr>
        <w:t> </w:t>
      </w:r>
      <w:r>
        <w:rPr>
          <w:color w:val="231F20"/>
          <w:w w:val="110"/>
        </w:rPr>
        <w:t>the</w:t>
      </w:r>
      <w:r>
        <w:rPr>
          <w:color w:val="231F20"/>
          <w:spacing w:val="-17"/>
          <w:w w:val="110"/>
        </w:rPr>
        <w:t> </w:t>
      </w:r>
      <w:r>
        <w:rPr>
          <w:color w:val="231F20"/>
          <w:w w:val="110"/>
        </w:rPr>
        <w:t>Company between</w:t>
      </w:r>
      <w:r>
        <w:rPr>
          <w:color w:val="231F20"/>
          <w:spacing w:val="-19"/>
          <w:w w:val="110"/>
        </w:rPr>
        <w:t> </w:t>
      </w:r>
      <w:r>
        <w:rPr>
          <w:color w:val="231F20"/>
          <w:w w:val="110"/>
        </w:rPr>
        <w:t>2001</w:t>
      </w:r>
      <w:r>
        <w:rPr>
          <w:color w:val="231F20"/>
          <w:spacing w:val="-18"/>
          <w:w w:val="110"/>
        </w:rPr>
        <w:t> </w:t>
      </w:r>
      <w:r>
        <w:rPr>
          <w:color w:val="231F20"/>
          <w:w w:val="110"/>
        </w:rPr>
        <w:t>and</w:t>
      </w:r>
      <w:r>
        <w:rPr>
          <w:color w:val="231F20"/>
          <w:spacing w:val="-18"/>
          <w:w w:val="110"/>
        </w:rPr>
        <w:t> </w:t>
      </w:r>
      <w:r>
        <w:rPr>
          <w:color w:val="231F20"/>
          <w:w w:val="110"/>
        </w:rPr>
        <w:t>2006,</w:t>
      </w:r>
      <w:r>
        <w:rPr>
          <w:color w:val="231F20"/>
          <w:spacing w:val="-19"/>
          <w:w w:val="110"/>
        </w:rPr>
        <w:t> </w:t>
      </w:r>
      <w:r>
        <w:rPr>
          <w:color w:val="231F20"/>
          <w:w w:val="110"/>
        </w:rPr>
        <w:t>and</w:t>
      </w:r>
      <w:r>
        <w:rPr>
          <w:color w:val="231F20"/>
          <w:spacing w:val="-18"/>
          <w:w w:val="110"/>
        </w:rPr>
        <w:t> </w:t>
      </w:r>
      <w:r>
        <w:rPr>
          <w:color w:val="231F20"/>
          <w:w w:val="110"/>
        </w:rPr>
        <w:t>between</w:t>
      </w:r>
      <w:r>
        <w:rPr>
          <w:color w:val="231F20"/>
          <w:spacing w:val="-18"/>
          <w:w w:val="110"/>
        </w:rPr>
        <w:t> </w:t>
      </w:r>
      <w:r>
        <w:rPr>
          <w:color w:val="231F20"/>
          <w:w w:val="110"/>
        </w:rPr>
        <w:t>2010</w:t>
      </w:r>
      <w:r>
        <w:rPr>
          <w:color w:val="231F20"/>
          <w:spacing w:val="-19"/>
          <w:w w:val="110"/>
        </w:rPr>
        <w:t> </w:t>
      </w:r>
      <w:r>
        <w:rPr>
          <w:color w:val="231F20"/>
          <w:w w:val="110"/>
        </w:rPr>
        <w:t>and</w:t>
      </w:r>
      <w:r>
        <w:rPr>
          <w:color w:val="231F20"/>
          <w:spacing w:val="-18"/>
          <w:w w:val="110"/>
        </w:rPr>
        <w:t> </w:t>
      </w:r>
      <w:r>
        <w:rPr>
          <w:color w:val="231F20"/>
          <w:w w:val="110"/>
        </w:rPr>
        <w:t>2014.</w:t>
      </w:r>
      <w:r>
        <w:rPr>
          <w:color w:val="231F20"/>
          <w:spacing w:val="-18"/>
          <w:w w:val="110"/>
        </w:rPr>
        <w:t> </w:t>
      </w:r>
      <w:r>
        <w:rPr>
          <w:color w:val="231F20"/>
          <w:w w:val="110"/>
        </w:rPr>
        <w:t>Before</w:t>
      </w:r>
      <w:r>
        <w:rPr>
          <w:color w:val="231F20"/>
          <w:spacing w:val="-18"/>
          <w:w w:val="110"/>
        </w:rPr>
        <w:t> </w:t>
      </w:r>
      <w:r>
        <w:rPr>
          <w:color w:val="231F20"/>
          <w:w w:val="110"/>
        </w:rPr>
        <w:t>joining</w:t>
      </w:r>
      <w:r>
        <w:rPr>
          <w:color w:val="231F20"/>
          <w:spacing w:val="-19"/>
          <w:w w:val="110"/>
        </w:rPr>
        <w:t> </w:t>
      </w:r>
      <w:r>
        <w:rPr>
          <w:color w:val="231F20"/>
          <w:w w:val="110"/>
        </w:rPr>
        <w:t>the</w:t>
      </w:r>
      <w:r>
        <w:rPr>
          <w:color w:val="231F20"/>
          <w:spacing w:val="-18"/>
          <w:w w:val="110"/>
        </w:rPr>
        <w:t> </w:t>
      </w:r>
      <w:r>
        <w:rPr>
          <w:color w:val="231F20"/>
          <w:spacing w:val="-4"/>
          <w:w w:val="110"/>
        </w:rPr>
        <w:t>Company,</w:t>
      </w:r>
      <w:r>
        <w:rPr>
          <w:color w:val="231F20"/>
          <w:spacing w:val="-18"/>
          <w:w w:val="110"/>
        </w:rPr>
        <w:t> </w:t>
      </w:r>
      <w:r>
        <w:rPr>
          <w:color w:val="231F20"/>
          <w:spacing w:val="-5"/>
          <w:w w:val="110"/>
        </w:rPr>
        <w:t>Mr.</w:t>
      </w:r>
      <w:r>
        <w:rPr>
          <w:color w:val="231F20"/>
          <w:spacing w:val="-19"/>
          <w:w w:val="110"/>
        </w:rPr>
        <w:t> </w:t>
      </w:r>
      <w:r>
        <w:rPr>
          <w:color w:val="231F20"/>
          <w:spacing w:val="-5"/>
          <w:w w:val="110"/>
        </w:rPr>
        <w:t>Yariv</w:t>
      </w:r>
      <w:r>
        <w:rPr>
          <w:color w:val="231F20"/>
          <w:spacing w:val="-18"/>
          <w:w w:val="110"/>
        </w:rPr>
        <w:t> </w:t>
      </w:r>
      <w:r>
        <w:rPr>
          <w:color w:val="231F20"/>
          <w:spacing w:val="-3"/>
          <w:w w:val="110"/>
        </w:rPr>
        <w:t>Alroy</w:t>
      </w:r>
    </w:p>
    <w:p>
      <w:pPr>
        <w:pStyle w:val="BodyText"/>
        <w:spacing w:line="244" w:lineRule="auto"/>
        <w:ind w:left="1090" w:right="1322"/>
      </w:pPr>
      <w:r>
        <w:rPr>
          <w:color w:val="231F20"/>
          <w:w w:val="105"/>
        </w:rPr>
        <w:t>worked for a leading Israeli law firm from 1989 to 1993, with his last position being senior partner. Since 2016 he has been an investor and a businessman and serves as a Board Member of Duke Robotics Inc., a reporting U.S. corporation. He holds an LL.B. from Tel Aviv University, Israel.</w:t>
      </w:r>
    </w:p>
    <w:p>
      <w:pPr>
        <w:pStyle w:val="BodyText"/>
        <w:spacing w:line="244" w:lineRule="auto" w:before="154"/>
        <w:ind w:left="1090" w:right="1503" w:firstLine="399"/>
      </w:pPr>
      <w:r>
        <w:rPr>
          <w:i/>
          <w:color w:val="231F20"/>
          <w:spacing w:val="-7"/>
          <w:w w:val="110"/>
        </w:rPr>
        <w:t>Mr.</w:t>
      </w:r>
      <w:r>
        <w:rPr>
          <w:i/>
          <w:color w:val="231F20"/>
          <w:spacing w:val="-19"/>
          <w:w w:val="110"/>
        </w:rPr>
        <w:t> </w:t>
      </w:r>
      <w:r>
        <w:rPr>
          <w:i/>
          <w:color w:val="231F20"/>
          <w:w w:val="110"/>
        </w:rPr>
        <w:t>Ehud</w:t>
      </w:r>
      <w:r>
        <w:rPr>
          <w:i/>
          <w:color w:val="231F20"/>
          <w:spacing w:val="-19"/>
          <w:w w:val="110"/>
        </w:rPr>
        <w:t> </w:t>
      </w:r>
      <w:r>
        <w:rPr>
          <w:i/>
          <w:color w:val="231F20"/>
          <w:w w:val="110"/>
        </w:rPr>
        <w:t>Barak</w:t>
      </w:r>
      <w:r>
        <w:rPr>
          <w:i/>
          <w:color w:val="231F20"/>
          <w:spacing w:val="-19"/>
          <w:w w:val="110"/>
        </w:rPr>
        <w:t> </w:t>
      </w:r>
      <w:r>
        <w:rPr>
          <w:color w:val="231F20"/>
          <w:w w:val="110"/>
        </w:rPr>
        <w:t>has</w:t>
      </w:r>
      <w:r>
        <w:rPr>
          <w:color w:val="231F20"/>
          <w:spacing w:val="-19"/>
          <w:w w:val="110"/>
        </w:rPr>
        <w:t> </w:t>
      </w:r>
      <w:r>
        <w:rPr>
          <w:color w:val="231F20"/>
          <w:w w:val="110"/>
        </w:rPr>
        <w:t>served</w:t>
      </w:r>
      <w:r>
        <w:rPr>
          <w:color w:val="231F20"/>
          <w:spacing w:val="-19"/>
          <w:w w:val="110"/>
        </w:rPr>
        <w:t> </w:t>
      </w:r>
      <w:r>
        <w:rPr>
          <w:color w:val="231F20"/>
          <w:w w:val="110"/>
        </w:rPr>
        <w:t>on</w:t>
      </w:r>
      <w:r>
        <w:rPr>
          <w:color w:val="231F20"/>
          <w:spacing w:val="-19"/>
          <w:w w:val="110"/>
        </w:rPr>
        <w:t> </w:t>
      </w:r>
      <w:r>
        <w:rPr>
          <w:color w:val="231F20"/>
          <w:w w:val="110"/>
        </w:rPr>
        <w:t>the</w:t>
      </w:r>
      <w:r>
        <w:rPr>
          <w:color w:val="231F20"/>
          <w:spacing w:val="-19"/>
          <w:w w:val="110"/>
        </w:rPr>
        <w:t> </w:t>
      </w:r>
      <w:r>
        <w:rPr>
          <w:color w:val="231F20"/>
          <w:w w:val="110"/>
        </w:rPr>
        <w:t>SHL</w:t>
      </w:r>
      <w:r>
        <w:rPr>
          <w:color w:val="231F20"/>
          <w:spacing w:val="-19"/>
          <w:w w:val="110"/>
        </w:rPr>
        <w:t> </w:t>
      </w:r>
      <w:r>
        <w:rPr>
          <w:color w:val="231F20"/>
          <w:w w:val="110"/>
        </w:rPr>
        <w:t>board</w:t>
      </w:r>
      <w:r>
        <w:rPr>
          <w:color w:val="231F20"/>
          <w:spacing w:val="-19"/>
          <w:w w:val="110"/>
        </w:rPr>
        <w:t> </w:t>
      </w:r>
      <w:r>
        <w:rPr>
          <w:color w:val="231F20"/>
          <w:w w:val="110"/>
        </w:rPr>
        <w:t>of</w:t>
      </w:r>
      <w:r>
        <w:rPr>
          <w:color w:val="231F20"/>
          <w:spacing w:val="-6"/>
          <w:w w:val="110"/>
        </w:rPr>
        <w:t> </w:t>
      </w:r>
      <w:r>
        <w:rPr>
          <w:color w:val="231F20"/>
          <w:w w:val="110"/>
        </w:rPr>
        <w:t>directors</w:t>
      </w:r>
      <w:r>
        <w:rPr>
          <w:color w:val="231F20"/>
          <w:spacing w:val="-19"/>
          <w:w w:val="110"/>
        </w:rPr>
        <w:t> </w:t>
      </w:r>
      <w:r>
        <w:rPr>
          <w:color w:val="231F20"/>
          <w:w w:val="110"/>
        </w:rPr>
        <w:t>as</w:t>
      </w:r>
      <w:r>
        <w:rPr>
          <w:color w:val="231F20"/>
          <w:spacing w:val="-19"/>
          <w:w w:val="110"/>
        </w:rPr>
        <w:t> </w:t>
      </w:r>
      <w:r>
        <w:rPr>
          <w:color w:val="231F20"/>
          <w:w w:val="110"/>
        </w:rPr>
        <w:t>Co-Chairman</w:t>
      </w:r>
      <w:r>
        <w:rPr>
          <w:color w:val="231F20"/>
          <w:spacing w:val="-19"/>
          <w:w w:val="110"/>
        </w:rPr>
        <w:t> </w:t>
      </w:r>
      <w:r>
        <w:rPr>
          <w:color w:val="231F20"/>
          <w:w w:val="110"/>
        </w:rPr>
        <w:t>since</w:t>
      </w:r>
      <w:r>
        <w:rPr>
          <w:color w:val="231F20"/>
          <w:spacing w:val="-19"/>
          <w:w w:val="110"/>
        </w:rPr>
        <w:t> </w:t>
      </w:r>
      <w:r>
        <w:rPr>
          <w:color w:val="231F20"/>
          <w:w w:val="110"/>
        </w:rPr>
        <w:t>August</w:t>
      </w:r>
      <w:r>
        <w:rPr>
          <w:color w:val="231F20"/>
          <w:spacing w:val="-19"/>
          <w:w w:val="110"/>
        </w:rPr>
        <w:t> </w:t>
      </w:r>
      <w:r>
        <w:rPr>
          <w:color w:val="231F20"/>
          <w:w w:val="110"/>
        </w:rPr>
        <w:t>11,</w:t>
      </w:r>
      <w:r>
        <w:rPr>
          <w:color w:val="231F20"/>
          <w:spacing w:val="-19"/>
          <w:w w:val="110"/>
        </w:rPr>
        <w:t> </w:t>
      </w:r>
      <w:r>
        <w:rPr>
          <w:color w:val="231F20"/>
          <w:w w:val="110"/>
        </w:rPr>
        <w:t>2022. </w:t>
      </w:r>
      <w:r>
        <w:rPr>
          <w:color w:val="231F20"/>
          <w:spacing w:val="-5"/>
          <w:w w:val="110"/>
        </w:rPr>
        <w:t>Mr.</w:t>
      </w:r>
      <w:r>
        <w:rPr>
          <w:color w:val="231F20"/>
          <w:spacing w:val="-18"/>
          <w:w w:val="110"/>
        </w:rPr>
        <w:t> </w:t>
      </w:r>
      <w:r>
        <w:rPr>
          <w:color w:val="231F20"/>
          <w:spacing w:val="-3"/>
          <w:w w:val="110"/>
        </w:rPr>
        <w:t>Barak</w:t>
      </w:r>
      <w:r>
        <w:rPr>
          <w:color w:val="231F20"/>
          <w:spacing w:val="-18"/>
          <w:w w:val="110"/>
        </w:rPr>
        <w:t> </w:t>
      </w:r>
      <w:r>
        <w:rPr>
          <w:color w:val="231F20"/>
          <w:spacing w:val="-3"/>
          <w:w w:val="110"/>
        </w:rPr>
        <w:t>also</w:t>
      </w:r>
      <w:r>
        <w:rPr>
          <w:color w:val="231F20"/>
          <w:spacing w:val="-18"/>
          <w:w w:val="110"/>
        </w:rPr>
        <w:t> </w:t>
      </w:r>
      <w:r>
        <w:rPr>
          <w:color w:val="231F20"/>
          <w:w w:val="110"/>
        </w:rPr>
        <w:t>currently</w:t>
      </w:r>
      <w:r>
        <w:rPr>
          <w:color w:val="231F20"/>
          <w:spacing w:val="-18"/>
          <w:w w:val="110"/>
        </w:rPr>
        <w:t> </w:t>
      </w:r>
      <w:r>
        <w:rPr>
          <w:color w:val="231F20"/>
          <w:w w:val="110"/>
        </w:rPr>
        <w:t>serves</w:t>
      </w:r>
      <w:r>
        <w:rPr>
          <w:color w:val="231F20"/>
          <w:spacing w:val="-18"/>
          <w:w w:val="110"/>
        </w:rPr>
        <w:t> </w:t>
      </w:r>
      <w:r>
        <w:rPr>
          <w:color w:val="231F20"/>
          <w:w w:val="110"/>
        </w:rPr>
        <w:t>on</w:t>
      </w:r>
      <w:r>
        <w:rPr>
          <w:color w:val="231F20"/>
          <w:spacing w:val="-18"/>
          <w:w w:val="110"/>
        </w:rPr>
        <w:t> </w:t>
      </w:r>
      <w:r>
        <w:rPr>
          <w:color w:val="231F20"/>
          <w:w w:val="110"/>
        </w:rPr>
        <w:t>the</w:t>
      </w:r>
      <w:r>
        <w:rPr>
          <w:color w:val="231F20"/>
          <w:spacing w:val="-18"/>
          <w:w w:val="110"/>
        </w:rPr>
        <w:t> </w:t>
      </w:r>
      <w:r>
        <w:rPr>
          <w:color w:val="231F20"/>
          <w:w w:val="110"/>
        </w:rPr>
        <w:t>board</w:t>
      </w:r>
      <w:r>
        <w:rPr>
          <w:color w:val="231F20"/>
          <w:spacing w:val="-18"/>
          <w:w w:val="110"/>
        </w:rPr>
        <w:t> </w:t>
      </w:r>
      <w:r>
        <w:rPr>
          <w:color w:val="231F20"/>
          <w:w w:val="110"/>
        </w:rPr>
        <w:t>of</w:t>
      </w:r>
      <w:r>
        <w:rPr>
          <w:color w:val="231F20"/>
          <w:spacing w:val="-4"/>
          <w:w w:val="110"/>
        </w:rPr>
        <w:t> </w:t>
      </w:r>
      <w:r>
        <w:rPr>
          <w:color w:val="231F20"/>
          <w:w w:val="110"/>
        </w:rPr>
        <w:t>four</w:t>
      </w:r>
      <w:r>
        <w:rPr>
          <w:color w:val="231F20"/>
          <w:spacing w:val="-18"/>
          <w:w w:val="110"/>
        </w:rPr>
        <w:t> </w:t>
      </w:r>
      <w:r>
        <w:rPr>
          <w:color w:val="231F20"/>
          <w:w w:val="110"/>
        </w:rPr>
        <w:t>other</w:t>
      </w:r>
      <w:r>
        <w:rPr>
          <w:color w:val="231F20"/>
          <w:spacing w:val="-18"/>
          <w:w w:val="110"/>
        </w:rPr>
        <w:t> </w:t>
      </w:r>
      <w:r>
        <w:rPr>
          <w:color w:val="231F20"/>
          <w:w w:val="110"/>
        </w:rPr>
        <w:t>Israeli</w:t>
      </w:r>
      <w:r>
        <w:rPr>
          <w:color w:val="231F20"/>
          <w:spacing w:val="-18"/>
          <w:w w:val="110"/>
        </w:rPr>
        <w:t> </w:t>
      </w:r>
      <w:r>
        <w:rPr>
          <w:color w:val="231F20"/>
          <w:w w:val="110"/>
        </w:rPr>
        <w:t>companies:</w:t>
      </w:r>
      <w:r>
        <w:rPr>
          <w:color w:val="231F20"/>
          <w:spacing w:val="-18"/>
          <w:w w:val="110"/>
        </w:rPr>
        <w:t> </w:t>
      </w:r>
      <w:r>
        <w:rPr>
          <w:color w:val="231F20"/>
          <w:w w:val="110"/>
        </w:rPr>
        <w:t>INTERCURE</w:t>
      </w:r>
      <w:r>
        <w:rPr>
          <w:color w:val="231F20"/>
          <w:spacing w:val="-18"/>
          <w:w w:val="110"/>
        </w:rPr>
        <w:t> </w:t>
      </w:r>
      <w:r>
        <w:rPr>
          <w:color w:val="231F20"/>
          <w:w w:val="110"/>
        </w:rPr>
        <w:t>Ltd.</w:t>
      </w:r>
      <w:r>
        <w:rPr>
          <w:color w:val="231F20"/>
          <w:spacing w:val="-18"/>
          <w:w w:val="110"/>
        </w:rPr>
        <w:t> </w:t>
      </w:r>
      <w:r>
        <w:rPr>
          <w:color w:val="231F20"/>
          <w:w w:val="110"/>
        </w:rPr>
        <w:t>(TASE, TSX:</w:t>
      </w:r>
      <w:r>
        <w:rPr>
          <w:color w:val="231F20"/>
          <w:spacing w:val="6"/>
          <w:w w:val="110"/>
        </w:rPr>
        <w:t> </w:t>
      </w:r>
      <w:r>
        <w:rPr>
          <w:color w:val="231F20"/>
          <w:w w:val="110"/>
        </w:rPr>
        <w:t>INCR),</w:t>
      </w:r>
      <w:r>
        <w:rPr>
          <w:color w:val="231F20"/>
          <w:spacing w:val="6"/>
          <w:w w:val="110"/>
        </w:rPr>
        <w:t> </w:t>
      </w:r>
      <w:r>
        <w:rPr>
          <w:color w:val="231F20"/>
          <w:w w:val="110"/>
        </w:rPr>
        <w:t>Carbyne</w:t>
      </w:r>
      <w:r>
        <w:rPr>
          <w:color w:val="231F20"/>
          <w:spacing w:val="7"/>
          <w:w w:val="110"/>
        </w:rPr>
        <w:t> </w:t>
      </w:r>
      <w:r>
        <w:rPr>
          <w:color w:val="231F20"/>
          <w:w w:val="110"/>
        </w:rPr>
        <w:t>Ltd.,</w:t>
      </w:r>
      <w:r>
        <w:rPr>
          <w:color w:val="231F20"/>
          <w:spacing w:val="6"/>
          <w:w w:val="110"/>
        </w:rPr>
        <w:t> </w:t>
      </w:r>
      <w:r>
        <w:rPr>
          <w:color w:val="231F20"/>
          <w:w w:val="110"/>
        </w:rPr>
        <w:t>Guardicore</w:t>
      </w:r>
      <w:r>
        <w:rPr>
          <w:color w:val="231F20"/>
          <w:spacing w:val="6"/>
          <w:w w:val="110"/>
        </w:rPr>
        <w:t> </w:t>
      </w:r>
      <w:r>
        <w:rPr>
          <w:color w:val="231F20"/>
          <w:w w:val="110"/>
        </w:rPr>
        <w:t>Ltd.</w:t>
      </w:r>
      <w:r>
        <w:rPr>
          <w:color w:val="231F20"/>
          <w:spacing w:val="7"/>
          <w:w w:val="110"/>
        </w:rPr>
        <w:t> </w:t>
      </w:r>
      <w:r>
        <w:rPr>
          <w:color w:val="231F20"/>
          <w:w w:val="110"/>
        </w:rPr>
        <w:t>and</w:t>
      </w:r>
      <w:r>
        <w:rPr>
          <w:color w:val="231F20"/>
          <w:spacing w:val="6"/>
          <w:w w:val="110"/>
        </w:rPr>
        <w:t> </w:t>
      </w:r>
      <w:r>
        <w:rPr>
          <w:color w:val="231F20"/>
          <w:w w:val="110"/>
        </w:rPr>
        <w:t>Cypertoka</w:t>
      </w:r>
      <w:r>
        <w:rPr>
          <w:color w:val="231F20"/>
          <w:spacing w:val="7"/>
          <w:w w:val="110"/>
        </w:rPr>
        <w:t> </w:t>
      </w:r>
      <w:r>
        <w:rPr>
          <w:color w:val="231F20"/>
          <w:w w:val="110"/>
        </w:rPr>
        <w:t>Ltd.</w:t>
      </w:r>
      <w:r>
        <w:rPr>
          <w:color w:val="231F20"/>
          <w:spacing w:val="6"/>
          <w:w w:val="110"/>
        </w:rPr>
        <w:t> </w:t>
      </w:r>
      <w:r>
        <w:rPr>
          <w:color w:val="231F20"/>
          <w:spacing w:val="-5"/>
          <w:w w:val="110"/>
        </w:rPr>
        <w:t>Mr.</w:t>
      </w:r>
      <w:r>
        <w:rPr>
          <w:color w:val="231F20"/>
          <w:spacing w:val="6"/>
          <w:w w:val="110"/>
        </w:rPr>
        <w:t> </w:t>
      </w:r>
      <w:r>
        <w:rPr>
          <w:color w:val="231F20"/>
          <w:spacing w:val="-3"/>
          <w:w w:val="110"/>
        </w:rPr>
        <w:t>Barak</w:t>
      </w:r>
      <w:r>
        <w:rPr>
          <w:color w:val="231F20"/>
          <w:spacing w:val="7"/>
          <w:w w:val="110"/>
        </w:rPr>
        <w:t> </w:t>
      </w:r>
      <w:r>
        <w:rPr>
          <w:color w:val="231F20"/>
          <w:w w:val="110"/>
        </w:rPr>
        <w:t>served</w:t>
      </w:r>
      <w:r>
        <w:rPr>
          <w:color w:val="231F20"/>
          <w:spacing w:val="6"/>
          <w:w w:val="110"/>
        </w:rPr>
        <w:t> </w:t>
      </w:r>
      <w:r>
        <w:rPr>
          <w:color w:val="231F20"/>
          <w:w w:val="110"/>
        </w:rPr>
        <w:t>as</w:t>
      </w:r>
      <w:r>
        <w:rPr>
          <w:color w:val="231F20"/>
          <w:spacing w:val="6"/>
          <w:w w:val="110"/>
        </w:rPr>
        <w:t> </w:t>
      </w:r>
      <w:r>
        <w:rPr>
          <w:color w:val="231F20"/>
          <w:w w:val="110"/>
        </w:rPr>
        <w:t>the</w:t>
      </w:r>
      <w:r>
        <w:rPr>
          <w:color w:val="231F20"/>
          <w:spacing w:val="7"/>
          <w:w w:val="110"/>
        </w:rPr>
        <w:t> </w:t>
      </w:r>
      <w:r>
        <w:rPr>
          <w:color w:val="231F20"/>
          <w:w w:val="110"/>
        </w:rPr>
        <w:t>tenth</w:t>
      </w:r>
      <w:r>
        <w:rPr>
          <w:color w:val="231F20"/>
          <w:spacing w:val="6"/>
          <w:w w:val="110"/>
        </w:rPr>
        <w:t> </w:t>
      </w:r>
      <w:r>
        <w:rPr>
          <w:color w:val="231F20"/>
          <w:w w:val="110"/>
        </w:rPr>
        <w:t>Prime</w:t>
      </w:r>
    </w:p>
    <w:p>
      <w:pPr>
        <w:pStyle w:val="BodyText"/>
        <w:spacing w:line="244" w:lineRule="auto" w:before="2"/>
        <w:ind w:left="1090" w:right="1386"/>
      </w:pPr>
      <w:r>
        <w:rPr>
          <w:color w:val="231F20"/>
          <w:w w:val="105"/>
        </w:rPr>
        <w:t>Minister</w:t>
      </w:r>
      <w:r>
        <w:rPr>
          <w:color w:val="231F20"/>
          <w:spacing w:val="-10"/>
          <w:w w:val="105"/>
        </w:rPr>
        <w:t> </w:t>
      </w:r>
      <w:r>
        <w:rPr>
          <w:color w:val="231F20"/>
          <w:w w:val="105"/>
        </w:rPr>
        <w:t>of</w:t>
      </w:r>
      <w:r>
        <w:rPr>
          <w:color w:val="231F20"/>
          <w:spacing w:val="10"/>
          <w:w w:val="105"/>
        </w:rPr>
        <w:t> </w:t>
      </w:r>
      <w:r>
        <w:rPr>
          <w:color w:val="231F20"/>
          <w:w w:val="105"/>
        </w:rPr>
        <w:t>Israel</w:t>
      </w:r>
      <w:r>
        <w:rPr>
          <w:color w:val="231F20"/>
          <w:spacing w:val="-10"/>
          <w:w w:val="105"/>
        </w:rPr>
        <w:t> </w:t>
      </w:r>
      <w:r>
        <w:rPr>
          <w:color w:val="231F20"/>
          <w:w w:val="105"/>
        </w:rPr>
        <w:t>from</w:t>
      </w:r>
      <w:r>
        <w:rPr>
          <w:color w:val="231F20"/>
          <w:spacing w:val="-9"/>
          <w:w w:val="105"/>
        </w:rPr>
        <w:t> </w:t>
      </w:r>
      <w:r>
        <w:rPr>
          <w:color w:val="231F20"/>
          <w:w w:val="105"/>
        </w:rPr>
        <w:t>1999</w:t>
      </w:r>
      <w:r>
        <w:rPr>
          <w:color w:val="231F20"/>
          <w:spacing w:val="-10"/>
          <w:w w:val="105"/>
        </w:rPr>
        <w:t> </w:t>
      </w:r>
      <w:r>
        <w:rPr>
          <w:color w:val="231F20"/>
          <w:w w:val="105"/>
        </w:rPr>
        <w:t>to</w:t>
      </w:r>
      <w:r>
        <w:rPr>
          <w:color w:val="231F20"/>
          <w:spacing w:val="-10"/>
          <w:w w:val="105"/>
        </w:rPr>
        <w:t> </w:t>
      </w:r>
      <w:r>
        <w:rPr>
          <w:color w:val="231F20"/>
          <w:w w:val="105"/>
        </w:rPr>
        <w:t>2001.</w:t>
      </w:r>
      <w:r>
        <w:rPr>
          <w:color w:val="231F20"/>
          <w:spacing w:val="-9"/>
          <w:w w:val="105"/>
        </w:rPr>
        <w:t> </w:t>
      </w:r>
      <w:r>
        <w:rPr>
          <w:color w:val="231F20"/>
          <w:w w:val="105"/>
        </w:rPr>
        <w:t>Before</w:t>
      </w:r>
      <w:r>
        <w:rPr>
          <w:color w:val="231F20"/>
          <w:spacing w:val="-10"/>
          <w:w w:val="105"/>
        </w:rPr>
        <w:t> </w:t>
      </w:r>
      <w:r>
        <w:rPr>
          <w:color w:val="231F20"/>
          <w:w w:val="105"/>
        </w:rPr>
        <w:t>being</w:t>
      </w:r>
      <w:r>
        <w:rPr>
          <w:color w:val="231F20"/>
          <w:spacing w:val="-10"/>
          <w:w w:val="105"/>
        </w:rPr>
        <w:t> </w:t>
      </w:r>
      <w:r>
        <w:rPr>
          <w:color w:val="231F20"/>
          <w:w w:val="105"/>
        </w:rPr>
        <w:t>elected</w:t>
      </w:r>
      <w:r>
        <w:rPr>
          <w:color w:val="231F20"/>
          <w:spacing w:val="-9"/>
          <w:w w:val="105"/>
        </w:rPr>
        <w:t> </w:t>
      </w:r>
      <w:r>
        <w:rPr>
          <w:color w:val="231F20"/>
          <w:w w:val="105"/>
        </w:rPr>
        <w:t>Prime</w:t>
      </w:r>
      <w:r>
        <w:rPr>
          <w:color w:val="231F20"/>
          <w:spacing w:val="-10"/>
          <w:w w:val="105"/>
        </w:rPr>
        <w:t> </w:t>
      </w:r>
      <w:r>
        <w:rPr>
          <w:color w:val="231F20"/>
          <w:spacing w:val="-3"/>
          <w:w w:val="105"/>
        </w:rPr>
        <w:t>Minister,</w:t>
      </w:r>
      <w:r>
        <w:rPr>
          <w:color w:val="231F20"/>
          <w:spacing w:val="-10"/>
          <w:w w:val="105"/>
        </w:rPr>
        <w:t> </w:t>
      </w:r>
      <w:r>
        <w:rPr>
          <w:color w:val="231F20"/>
          <w:spacing w:val="-5"/>
          <w:w w:val="105"/>
        </w:rPr>
        <w:t>Mr.</w:t>
      </w:r>
      <w:r>
        <w:rPr>
          <w:color w:val="231F20"/>
          <w:spacing w:val="-9"/>
          <w:w w:val="105"/>
        </w:rPr>
        <w:t> </w:t>
      </w:r>
      <w:r>
        <w:rPr>
          <w:color w:val="231F20"/>
          <w:spacing w:val="-3"/>
          <w:w w:val="105"/>
        </w:rPr>
        <w:t>Barak</w:t>
      </w:r>
      <w:r>
        <w:rPr>
          <w:color w:val="231F20"/>
          <w:spacing w:val="-10"/>
          <w:w w:val="105"/>
        </w:rPr>
        <w:t> </w:t>
      </w:r>
      <w:r>
        <w:rPr>
          <w:color w:val="231F20"/>
          <w:w w:val="105"/>
        </w:rPr>
        <w:t>completed</w:t>
      </w:r>
      <w:r>
        <w:rPr>
          <w:color w:val="231F20"/>
          <w:spacing w:val="-10"/>
          <w:w w:val="105"/>
        </w:rPr>
        <w:t> </w:t>
      </w:r>
      <w:r>
        <w:rPr>
          <w:color w:val="231F20"/>
          <w:w w:val="105"/>
        </w:rPr>
        <w:t>an</w:t>
      </w:r>
      <w:r>
        <w:rPr>
          <w:color w:val="231F20"/>
          <w:spacing w:val="-9"/>
          <w:w w:val="105"/>
        </w:rPr>
        <w:t> </w:t>
      </w:r>
      <w:r>
        <w:rPr>
          <w:color w:val="231F20"/>
          <w:w w:val="105"/>
        </w:rPr>
        <w:t>illustrious 36-year career in the Israeli Defense </w:t>
      </w:r>
      <w:r>
        <w:rPr>
          <w:color w:val="231F20"/>
          <w:spacing w:val="-4"/>
          <w:w w:val="105"/>
        </w:rPr>
        <w:t>Forces </w:t>
      </w:r>
      <w:r>
        <w:rPr>
          <w:color w:val="231F20"/>
          <w:w w:val="105"/>
        </w:rPr>
        <w:t>(the “IDF”), as the most decorated soldier in its</w:t>
      </w:r>
      <w:r>
        <w:rPr>
          <w:color w:val="231F20"/>
          <w:spacing w:val="-5"/>
          <w:w w:val="105"/>
        </w:rPr>
        <w:t> </w:t>
      </w:r>
      <w:r>
        <w:rPr>
          <w:color w:val="231F20"/>
          <w:spacing w:val="-3"/>
          <w:w w:val="105"/>
        </w:rPr>
        <w:t>history.</w:t>
      </w:r>
    </w:p>
    <w:p>
      <w:pPr>
        <w:pStyle w:val="BodyText"/>
        <w:spacing w:line="244" w:lineRule="auto" w:before="2"/>
        <w:ind w:left="1090" w:right="1386"/>
      </w:pPr>
      <w:r>
        <w:rPr>
          <w:color w:val="231F20"/>
          <w:spacing w:val="-5"/>
          <w:w w:val="105"/>
        </w:rPr>
        <w:t>Mr. </w:t>
      </w:r>
      <w:r>
        <w:rPr>
          <w:color w:val="231F20"/>
          <w:spacing w:val="-3"/>
          <w:w w:val="105"/>
        </w:rPr>
        <w:t>Barak </w:t>
      </w:r>
      <w:r>
        <w:rPr>
          <w:color w:val="231F20"/>
          <w:w w:val="105"/>
        </w:rPr>
        <w:t>served in top positions in the </w:t>
      </w:r>
      <w:r>
        <w:rPr>
          <w:color w:val="231F20"/>
          <w:spacing w:val="-6"/>
          <w:w w:val="105"/>
        </w:rPr>
        <w:t>IDF, </w:t>
      </w:r>
      <w:r>
        <w:rPr>
          <w:color w:val="231F20"/>
          <w:w w:val="105"/>
        </w:rPr>
        <w:t>including Head of Planning, Head of Military Intelligence, Commander of the Central Command and Deputy Chief of General </w:t>
      </w:r>
      <w:r>
        <w:rPr>
          <w:color w:val="231F20"/>
          <w:spacing w:val="-3"/>
          <w:w w:val="105"/>
        </w:rPr>
        <w:t>Staff. </w:t>
      </w:r>
      <w:r>
        <w:rPr>
          <w:color w:val="231F20"/>
          <w:w w:val="105"/>
        </w:rPr>
        <w:t>As Chief of the General Staff of the </w:t>
      </w:r>
      <w:r>
        <w:rPr>
          <w:color w:val="231F20"/>
          <w:spacing w:val="-6"/>
          <w:w w:val="105"/>
        </w:rPr>
        <w:t>IDF, </w:t>
      </w:r>
      <w:r>
        <w:rPr>
          <w:color w:val="231F20"/>
          <w:w w:val="105"/>
        </w:rPr>
        <w:t>he was </w:t>
      </w:r>
      <w:r>
        <w:rPr>
          <w:color w:val="231F20"/>
          <w:spacing w:val="-3"/>
          <w:w w:val="105"/>
        </w:rPr>
        <w:t>involved </w:t>
      </w:r>
      <w:r>
        <w:rPr>
          <w:color w:val="231F20"/>
          <w:w w:val="105"/>
        </w:rPr>
        <w:t>in the negotiation and implementation of the 1994 peace treaty with</w:t>
      </w:r>
      <w:r>
        <w:rPr>
          <w:color w:val="231F20"/>
          <w:spacing w:val="-19"/>
          <w:w w:val="105"/>
        </w:rPr>
        <w:t> </w:t>
      </w:r>
      <w:r>
        <w:rPr>
          <w:color w:val="231F20"/>
          <w:w w:val="105"/>
        </w:rPr>
        <w:t>Jordan.</w:t>
      </w:r>
    </w:p>
    <w:p>
      <w:pPr>
        <w:pStyle w:val="BodyText"/>
        <w:spacing w:line="244" w:lineRule="auto" w:before="3"/>
        <w:ind w:left="1090" w:right="1322"/>
      </w:pPr>
      <w:r>
        <w:rPr>
          <w:color w:val="231F20"/>
          <w:spacing w:val="-5"/>
          <w:w w:val="105"/>
        </w:rPr>
        <w:t>Mr. </w:t>
      </w:r>
      <w:r>
        <w:rPr>
          <w:color w:val="231F20"/>
          <w:spacing w:val="-3"/>
          <w:w w:val="105"/>
        </w:rPr>
        <w:t>Barak </w:t>
      </w:r>
      <w:r>
        <w:rPr>
          <w:color w:val="231F20"/>
          <w:w w:val="105"/>
        </w:rPr>
        <w:t>has </w:t>
      </w:r>
      <w:r>
        <w:rPr>
          <w:color w:val="231F20"/>
          <w:spacing w:val="-3"/>
          <w:w w:val="105"/>
        </w:rPr>
        <w:t>also </w:t>
      </w:r>
      <w:r>
        <w:rPr>
          <w:color w:val="231F20"/>
          <w:w w:val="105"/>
        </w:rPr>
        <w:t>served Israel as Minister of the </w:t>
      </w:r>
      <w:r>
        <w:rPr>
          <w:color w:val="231F20"/>
          <w:spacing w:val="-3"/>
          <w:w w:val="105"/>
        </w:rPr>
        <w:t>Interior, </w:t>
      </w:r>
      <w:r>
        <w:rPr>
          <w:color w:val="231F20"/>
          <w:w w:val="105"/>
        </w:rPr>
        <w:t>Minister of </w:t>
      </w:r>
      <w:r>
        <w:rPr>
          <w:color w:val="231F20"/>
          <w:spacing w:val="-3"/>
          <w:w w:val="105"/>
        </w:rPr>
        <w:t>Foreign </w:t>
      </w:r>
      <w:r>
        <w:rPr>
          <w:color w:val="231F20"/>
          <w:w w:val="105"/>
        </w:rPr>
        <w:t>Affairs and Defense</w:t>
      </w:r>
      <w:r>
        <w:rPr>
          <w:color w:val="231F20"/>
          <w:spacing w:val="-37"/>
          <w:w w:val="105"/>
        </w:rPr>
        <w:t> </w:t>
      </w:r>
      <w:r>
        <w:rPr>
          <w:color w:val="231F20"/>
          <w:w w:val="105"/>
        </w:rPr>
        <w:t>Minister. Since September 2016, he has served as Senior </w:t>
      </w:r>
      <w:r>
        <w:rPr>
          <w:color w:val="231F20"/>
          <w:spacing w:val="-3"/>
          <w:w w:val="105"/>
        </w:rPr>
        <w:t>Fellow </w:t>
      </w:r>
      <w:r>
        <w:rPr>
          <w:color w:val="231F20"/>
          <w:w w:val="105"/>
        </w:rPr>
        <w:t>non-resident </w:t>
      </w:r>
      <w:r>
        <w:rPr>
          <w:color w:val="231F20"/>
          <w:spacing w:val="-3"/>
          <w:w w:val="105"/>
        </w:rPr>
        <w:t>at </w:t>
      </w:r>
      <w:r>
        <w:rPr>
          <w:color w:val="231F20"/>
          <w:w w:val="105"/>
        </w:rPr>
        <w:t>the Belfer Center </w:t>
      </w:r>
      <w:r>
        <w:rPr>
          <w:color w:val="231F20"/>
          <w:spacing w:val="-3"/>
          <w:w w:val="105"/>
        </w:rPr>
        <w:t>for </w:t>
      </w:r>
      <w:r>
        <w:rPr>
          <w:color w:val="231F20"/>
          <w:w w:val="105"/>
        </w:rPr>
        <w:t>Science and International</w:t>
      </w:r>
      <w:r>
        <w:rPr>
          <w:color w:val="231F20"/>
          <w:spacing w:val="-6"/>
          <w:w w:val="105"/>
        </w:rPr>
        <w:t> </w:t>
      </w:r>
      <w:r>
        <w:rPr>
          <w:color w:val="231F20"/>
          <w:w w:val="105"/>
        </w:rPr>
        <w:t>Affairs</w:t>
      </w:r>
      <w:r>
        <w:rPr>
          <w:color w:val="231F20"/>
          <w:spacing w:val="-6"/>
          <w:w w:val="105"/>
        </w:rPr>
        <w:t> </w:t>
      </w:r>
      <w:r>
        <w:rPr>
          <w:color w:val="231F20"/>
          <w:spacing w:val="-3"/>
          <w:w w:val="105"/>
        </w:rPr>
        <w:t>at</w:t>
      </w:r>
      <w:r>
        <w:rPr>
          <w:color w:val="231F20"/>
          <w:spacing w:val="-5"/>
          <w:w w:val="105"/>
        </w:rPr>
        <w:t> </w:t>
      </w:r>
      <w:r>
        <w:rPr>
          <w:color w:val="231F20"/>
          <w:w w:val="105"/>
        </w:rPr>
        <w:t>Harvard</w:t>
      </w:r>
      <w:r>
        <w:rPr>
          <w:color w:val="231F20"/>
          <w:spacing w:val="-6"/>
          <w:w w:val="105"/>
        </w:rPr>
        <w:t> </w:t>
      </w:r>
      <w:r>
        <w:rPr>
          <w:color w:val="231F20"/>
          <w:spacing w:val="-3"/>
          <w:w w:val="105"/>
        </w:rPr>
        <w:t>University.</w:t>
      </w:r>
      <w:r>
        <w:rPr>
          <w:color w:val="231F20"/>
          <w:spacing w:val="-5"/>
          <w:w w:val="105"/>
        </w:rPr>
        <w:t> </w:t>
      </w:r>
      <w:r>
        <w:rPr>
          <w:color w:val="231F20"/>
          <w:w w:val="105"/>
        </w:rPr>
        <w:t>Since</w:t>
      </w:r>
      <w:r>
        <w:rPr>
          <w:color w:val="231F20"/>
          <w:spacing w:val="-6"/>
          <w:w w:val="105"/>
        </w:rPr>
        <w:t> </w:t>
      </w:r>
      <w:r>
        <w:rPr>
          <w:color w:val="231F20"/>
          <w:w w:val="105"/>
        </w:rPr>
        <w:t>March</w:t>
      </w:r>
      <w:r>
        <w:rPr>
          <w:color w:val="231F20"/>
          <w:spacing w:val="-6"/>
          <w:w w:val="105"/>
        </w:rPr>
        <w:t> </w:t>
      </w:r>
      <w:r>
        <w:rPr>
          <w:color w:val="231F20"/>
          <w:w w:val="105"/>
        </w:rPr>
        <w:t>2013,</w:t>
      </w:r>
      <w:r>
        <w:rPr>
          <w:color w:val="231F20"/>
          <w:spacing w:val="-5"/>
          <w:w w:val="105"/>
        </w:rPr>
        <w:t> </w:t>
      </w:r>
      <w:r>
        <w:rPr>
          <w:color w:val="231F20"/>
          <w:w w:val="105"/>
        </w:rPr>
        <w:t>he</w:t>
      </w:r>
      <w:r>
        <w:rPr>
          <w:color w:val="231F20"/>
          <w:spacing w:val="-6"/>
          <w:w w:val="105"/>
        </w:rPr>
        <w:t> </w:t>
      </w:r>
      <w:r>
        <w:rPr>
          <w:color w:val="231F20"/>
          <w:w w:val="105"/>
        </w:rPr>
        <w:t>has</w:t>
      </w:r>
      <w:r>
        <w:rPr>
          <w:color w:val="231F20"/>
          <w:spacing w:val="-5"/>
          <w:w w:val="105"/>
        </w:rPr>
        <w:t> </w:t>
      </w:r>
      <w:r>
        <w:rPr>
          <w:color w:val="231F20"/>
          <w:w w:val="105"/>
        </w:rPr>
        <w:t>served</w:t>
      </w:r>
      <w:r>
        <w:rPr>
          <w:color w:val="231F20"/>
          <w:spacing w:val="-6"/>
          <w:w w:val="105"/>
        </w:rPr>
        <w:t> </w:t>
      </w:r>
      <w:r>
        <w:rPr>
          <w:color w:val="231F20"/>
          <w:w w:val="105"/>
        </w:rPr>
        <w:t>as</w:t>
      </w:r>
      <w:r>
        <w:rPr>
          <w:color w:val="231F20"/>
          <w:spacing w:val="-6"/>
          <w:w w:val="105"/>
        </w:rPr>
        <w:t> </w:t>
      </w:r>
      <w:r>
        <w:rPr>
          <w:color w:val="231F20"/>
          <w:w w:val="105"/>
        </w:rPr>
        <w:t>founder</w:t>
      </w:r>
      <w:r>
        <w:rPr>
          <w:color w:val="231F20"/>
          <w:spacing w:val="-5"/>
          <w:w w:val="105"/>
        </w:rPr>
        <w:t> </w:t>
      </w:r>
      <w:r>
        <w:rPr>
          <w:color w:val="231F20"/>
          <w:w w:val="105"/>
        </w:rPr>
        <w:t>and</w:t>
      </w:r>
      <w:r>
        <w:rPr>
          <w:color w:val="231F20"/>
          <w:spacing w:val="-6"/>
          <w:w w:val="105"/>
        </w:rPr>
        <w:t> </w:t>
      </w:r>
      <w:r>
        <w:rPr>
          <w:color w:val="231F20"/>
          <w:w w:val="105"/>
        </w:rPr>
        <w:t>Chief</w:t>
      </w:r>
      <w:r>
        <w:rPr>
          <w:color w:val="231F20"/>
          <w:spacing w:val="15"/>
          <w:w w:val="105"/>
        </w:rPr>
        <w:t> </w:t>
      </w:r>
      <w:r>
        <w:rPr>
          <w:color w:val="231F20"/>
          <w:w w:val="105"/>
        </w:rPr>
        <w:t>Executive Officer of </w:t>
      </w:r>
      <w:r>
        <w:rPr>
          <w:color w:val="231F20"/>
          <w:spacing w:val="-3"/>
          <w:w w:val="105"/>
        </w:rPr>
        <w:t>Ergo, </w:t>
      </w:r>
      <w:r>
        <w:rPr>
          <w:color w:val="231F20"/>
          <w:w w:val="105"/>
        </w:rPr>
        <w:t>a strategic consulting firm. </w:t>
      </w:r>
      <w:r>
        <w:rPr>
          <w:color w:val="231F20"/>
          <w:spacing w:val="-5"/>
          <w:w w:val="105"/>
        </w:rPr>
        <w:t>Mr. </w:t>
      </w:r>
      <w:r>
        <w:rPr>
          <w:color w:val="231F20"/>
          <w:spacing w:val="-3"/>
          <w:w w:val="105"/>
        </w:rPr>
        <w:t>Barak </w:t>
      </w:r>
      <w:r>
        <w:rPr>
          <w:color w:val="231F20"/>
          <w:w w:val="105"/>
        </w:rPr>
        <w:t>holds a </w:t>
      </w:r>
      <w:r>
        <w:rPr>
          <w:color w:val="231F20"/>
          <w:spacing w:val="-5"/>
          <w:w w:val="105"/>
        </w:rPr>
        <w:t>B.S. </w:t>
      </w:r>
      <w:r>
        <w:rPr>
          <w:color w:val="231F20"/>
          <w:w w:val="105"/>
        </w:rPr>
        <w:t>degree in mathematics and</w:t>
      </w:r>
      <w:r>
        <w:rPr>
          <w:color w:val="231F20"/>
          <w:spacing w:val="4"/>
          <w:w w:val="105"/>
        </w:rPr>
        <w:t> </w:t>
      </w:r>
      <w:r>
        <w:rPr>
          <w:color w:val="231F20"/>
          <w:w w:val="105"/>
        </w:rPr>
        <w:t>physics</w:t>
      </w:r>
    </w:p>
    <w:p>
      <w:pPr>
        <w:pStyle w:val="BodyText"/>
        <w:spacing w:line="244" w:lineRule="auto" w:before="4"/>
        <w:ind w:left="1090" w:right="1768"/>
      </w:pPr>
      <w:r>
        <w:rPr>
          <w:color w:val="231F20"/>
          <w:w w:val="105"/>
        </w:rPr>
        <w:t>from</w:t>
      </w:r>
      <w:r>
        <w:rPr>
          <w:color w:val="231F20"/>
          <w:spacing w:val="-8"/>
          <w:w w:val="105"/>
        </w:rPr>
        <w:t> </w:t>
      </w:r>
      <w:r>
        <w:rPr>
          <w:color w:val="231F20"/>
          <w:w w:val="105"/>
        </w:rPr>
        <w:t>the</w:t>
      </w:r>
      <w:r>
        <w:rPr>
          <w:color w:val="231F20"/>
          <w:spacing w:val="-7"/>
          <w:w w:val="105"/>
        </w:rPr>
        <w:t> </w:t>
      </w:r>
      <w:r>
        <w:rPr>
          <w:color w:val="231F20"/>
          <w:w w:val="105"/>
        </w:rPr>
        <w:t>Hebrew</w:t>
      </w:r>
      <w:r>
        <w:rPr>
          <w:color w:val="231F20"/>
          <w:spacing w:val="-8"/>
          <w:w w:val="105"/>
        </w:rPr>
        <w:t> </w:t>
      </w:r>
      <w:r>
        <w:rPr>
          <w:color w:val="231F20"/>
          <w:w w:val="105"/>
        </w:rPr>
        <w:t>University</w:t>
      </w:r>
      <w:r>
        <w:rPr>
          <w:color w:val="231F20"/>
          <w:spacing w:val="-7"/>
          <w:w w:val="105"/>
        </w:rPr>
        <w:t> </w:t>
      </w:r>
      <w:r>
        <w:rPr>
          <w:color w:val="231F20"/>
          <w:w w:val="105"/>
        </w:rPr>
        <w:t>in</w:t>
      </w:r>
      <w:r>
        <w:rPr>
          <w:color w:val="231F20"/>
          <w:spacing w:val="-8"/>
          <w:w w:val="105"/>
        </w:rPr>
        <w:t> </w:t>
      </w:r>
      <w:r>
        <w:rPr>
          <w:color w:val="231F20"/>
          <w:w w:val="105"/>
        </w:rPr>
        <w:t>Jerusalem</w:t>
      </w:r>
      <w:r>
        <w:rPr>
          <w:color w:val="231F20"/>
          <w:spacing w:val="-7"/>
          <w:w w:val="105"/>
        </w:rPr>
        <w:t> </w:t>
      </w:r>
      <w:r>
        <w:rPr>
          <w:color w:val="231F20"/>
          <w:w w:val="105"/>
        </w:rPr>
        <w:t>and</w:t>
      </w:r>
      <w:r>
        <w:rPr>
          <w:color w:val="231F20"/>
          <w:spacing w:val="-8"/>
          <w:w w:val="105"/>
        </w:rPr>
        <w:t> </w:t>
      </w:r>
      <w:r>
        <w:rPr>
          <w:color w:val="231F20"/>
          <w:w w:val="105"/>
        </w:rPr>
        <w:t>received</w:t>
      </w:r>
      <w:r>
        <w:rPr>
          <w:color w:val="231F20"/>
          <w:spacing w:val="-7"/>
          <w:w w:val="105"/>
        </w:rPr>
        <w:t> </w:t>
      </w:r>
      <w:r>
        <w:rPr>
          <w:color w:val="231F20"/>
          <w:w w:val="105"/>
        </w:rPr>
        <w:t>his</w:t>
      </w:r>
      <w:r>
        <w:rPr>
          <w:color w:val="231F20"/>
          <w:spacing w:val="-8"/>
          <w:w w:val="105"/>
        </w:rPr>
        <w:t> </w:t>
      </w:r>
      <w:r>
        <w:rPr>
          <w:color w:val="231F20"/>
          <w:w w:val="105"/>
        </w:rPr>
        <w:t>M.S.C</w:t>
      </w:r>
      <w:r>
        <w:rPr>
          <w:color w:val="231F20"/>
          <w:spacing w:val="-7"/>
          <w:w w:val="105"/>
        </w:rPr>
        <w:t> </w:t>
      </w:r>
      <w:r>
        <w:rPr>
          <w:color w:val="231F20"/>
          <w:w w:val="105"/>
        </w:rPr>
        <w:t>in</w:t>
      </w:r>
      <w:r>
        <w:rPr>
          <w:color w:val="231F20"/>
          <w:spacing w:val="-8"/>
          <w:w w:val="105"/>
        </w:rPr>
        <w:t> </w:t>
      </w:r>
      <w:r>
        <w:rPr>
          <w:color w:val="231F20"/>
          <w:w w:val="105"/>
        </w:rPr>
        <w:t>economic</w:t>
      </w:r>
      <w:r>
        <w:rPr>
          <w:color w:val="231F20"/>
          <w:spacing w:val="-7"/>
          <w:w w:val="105"/>
        </w:rPr>
        <w:t> </w:t>
      </w:r>
      <w:r>
        <w:rPr>
          <w:color w:val="231F20"/>
          <w:w w:val="105"/>
        </w:rPr>
        <w:t>engineering</w:t>
      </w:r>
      <w:r>
        <w:rPr>
          <w:color w:val="231F20"/>
          <w:spacing w:val="-8"/>
          <w:w w:val="105"/>
        </w:rPr>
        <w:t> </w:t>
      </w:r>
      <w:r>
        <w:rPr>
          <w:color w:val="231F20"/>
          <w:w w:val="105"/>
        </w:rPr>
        <w:t>systems</w:t>
      </w:r>
      <w:r>
        <w:rPr>
          <w:color w:val="231F20"/>
          <w:spacing w:val="-7"/>
          <w:w w:val="105"/>
        </w:rPr>
        <w:t> </w:t>
      </w:r>
      <w:r>
        <w:rPr>
          <w:color w:val="231F20"/>
          <w:w w:val="105"/>
        </w:rPr>
        <w:t>from Stanford</w:t>
      </w:r>
      <w:r>
        <w:rPr>
          <w:color w:val="231F20"/>
          <w:spacing w:val="-4"/>
          <w:w w:val="105"/>
        </w:rPr>
        <w:t> </w:t>
      </w:r>
      <w:r>
        <w:rPr>
          <w:color w:val="231F20"/>
          <w:spacing w:val="-3"/>
          <w:w w:val="105"/>
        </w:rPr>
        <w:t>University.</w:t>
      </w:r>
    </w:p>
    <w:p>
      <w:pPr>
        <w:pStyle w:val="BodyText"/>
        <w:spacing w:before="161"/>
        <w:ind w:left="1489"/>
      </w:pPr>
      <w:r>
        <w:rPr>
          <w:i/>
          <w:color w:val="231F20"/>
          <w:w w:val="105"/>
        </w:rPr>
        <w:t>Mr. David Salton </w:t>
      </w:r>
      <w:r>
        <w:rPr>
          <w:color w:val="231F20"/>
          <w:w w:val="105"/>
        </w:rPr>
        <w:t>joined the Board of Directors of SHL as a non-executive Director in May 2021.</w:t>
      </w:r>
    </w:p>
    <w:p>
      <w:pPr>
        <w:pStyle w:val="BodyText"/>
        <w:spacing w:line="244" w:lineRule="auto" w:before="6"/>
        <w:ind w:left="1090" w:right="1763"/>
      </w:pPr>
      <w:r>
        <w:rPr>
          <w:color w:val="231F20"/>
          <w:w w:val="105"/>
        </w:rPr>
        <w:t>From October 2020, Mr. Salton holds the position of President, Chief Executive Officer and Board Member of Virility Medical, a startup company developing consumer medical devices. Prior to that, for</w:t>
      </w:r>
    </w:p>
    <w:p>
      <w:pPr>
        <w:pStyle w:val="BodyText"/>
        <w:spacing w:line="244" w:lineRule="auto" w:before="2"/>
        <w:ind w:left="1090" w:right="1328"/>
      </w:pPr>
      <w:r>
        <w:rPr>
          <w:color w:val="231F20"/>
          <w:w w:val="105"/>
        </w:rPr>
        <w:t>10 years he served as the CEO of Dentack Implants, a medical device company in the dental field.</w:t>
      </w:r>
      <w:r>
        <w:rPr>
          <w:color w:val="231F20"/>
          <w:spacing w:val="-5"/>
          <w:w w:val="105"/>
        </w:rPr>
        <w:t> Mr. </w:t>
      </w:r>
      <w:r>
        <w:rPr>
          <w:color w:val="231F20"/>
          <w:spacing w:val="-4"/>
          <w:w w:val="105"/>
        </w:rPr>
        <w:t>Salton </w:t>
      </w:r>
      <w:r>
        <w:rPr>
          <w:color w:val="231F20"/>
          <w:spacing w:val="-3"/>
          <w:w w:val="105"/>
        </w:rPr>
        <w:t>also </w:t>
      </w:r>
      <w:r>
        <w:rPr>
          <w:color w:val="231F20"/>
          <w:w w:val="105"/>
        </w:rPr>
        <w:t>served as CEO of DCL Technologies Ltd., an investment </w:t>
      </w:r>
      <w:r>
        <w:rPr>
          <w:color w:val="231F20"/>
          <w:spacing w:val="-4"/>
          <w:w w:val="105"/>
        </w:rPr>
        <w:t>company, </w:t>
      </w:r>
      <w:r>
        <w:rPr>
          <w:color w:val="231F20"/>
          <w:w w:val="105"/>
        </w:rPr>
        <w:t>and Deputy General Manager of Leumi Partners, a leading Israeli Corporate Governance 26 Investment Bank. </w:t>
      </w:r>
      <w:r>
        <w:rPr>
          <w:color w:val="231F20"/>
          <w:spacing w:val="-5"/>
          <w:w w:val="105"/>
        </w:rPr>
        <w:t>Mr. </w:t>
      </w:r>
      <w:r>
        <w:rPr>
          <w:color w:val="231F20"/>
          <w:w w:val="105"/>
        </w:rPr>
        <w:t>Salton </w:t>
      </w:r>
      <w:r>
        <w:rPr>
          <w:color w:val="231F20"/>
          <w:spacing w:val="-3"/>
          <w:w w:val="105"/>
        </w:rPr>
        <w:t>also </w:t>
      </w:r>
      <w:r>
        <w:rPr>
          <w:color w:val="231F20"/>
          <w:w w:val="105"/>
        </w:rPr>
        <w:t>served as CEO of </w:t>
      </w:r>
      <w:r>
        <w:rPr>
          <w:color w:val="231F20"/>
          <w:spacing w:val="-3"/>
          <w:w w:val="105"/>
        </w:rPr>
        <w:t>several </w:t>
      </w:r>
      <w:r>
        <w:rPr>
          <w:color w:val="231F20"/>
          <w:w w:val="105"/>
        </w:rPr>
        <w:t>private biotech and healthcare companies, and as board member of </w:t>
      </w:r>
      <w:r>
        <w:rPr>
          <w:color w:val="231F20"/>
          <w:spacing w:val="-3"/>
          <w:w w:val="105"/>
        </w:rPr>
        <w:t>several </w:t>
      </w:r>
      <w:r>
        <w:rPr>
          <w:color w:val="231F20"/>
          <w:w w:val="105"/>
        </w:rPr>
        <w:t>publicly traded companies. He currently serves as an independent director of InterCure Ltd. (TASE, TSX: INCR) and ARAN Ltd. (TASE: ARAN) and as an independent director of Giza Underwriting Ltd, a public non-listed Israeli </w:t>
      </w:r>
      <w:r>
        <w:rPr>
          <w:color w:val="231F20"/>
          <w:spacing w:val="-4"/>
          <w:w w:val="105"/>
        </w:rPr>
        <w:t>company. </w:t>
      </w:r>
      <w:r>
        <w:rPr>
          <w:color w:val="231F20"/>
          <w:spacing w:val="-3"/>
          <w:w w:val="105"/>
        </w:rPr>
        <w:t>David </w:t>
      </w:r>
      <w:r>
        <w:rPr>
          <w:color w:val="231F20"/>
          <w:w w:val="105"/>
        </w:rPr>
        <w:t>Salton holds a B.Sc., Economics &amp; Management degree from Technion — Israel Institute of </w:t>
      </w:r>
      <w:r>
        <w:rPr>
          <w:color w:val="231F20"/>
          <w:spacing w:val="-4"/>
          <w:w w:val="105"/>
        </w:rPr>
        <w:t>Technology, </w:t>
      </w:r>
      <w:r>
        <w:rPr>
          <w:color w:val="231F20"/>
          <w:w w:val="105"/>
        </w:rPr>
        <w:t>Faculty of Industrial Engineering &amp; Management.</w:t>
      </w:r>
    </w:p>
    <w:p>
      <w:pPr>
        <w:pStyle w:val="BodyText"/>
        <w:spacing w:line="244" w:lineRule="auto" w:before="167"/>
        <w:ind w:left="1090" w:right="1363" w:firstLine="399"/>
      </w:pPr>
      <w:r>
        <w:rPr>
          <w:i/>
          <w:color w:val="231F20"/>
          <w:spacing w:val="-7"/>
          <w:w w:val="105"/>
        </w:rPr>
        <w:t>Mr. </w:t>
      </w:r>
      <w:r>
        <w:rPr>
          <w:i/>
          <w:color w:val="231F20"/>
          <w:w w:val="105"/>
        </w:rPr>
        <w:t>Erez </w:t>
      </w:r>
      <w:r>
        <w:rPr>
          <w:i/>
          <w:color w:val="231F20"/>
          <w:spacing w:val="-3"/>
          <w:w w:val="105"/>
        </w:rPr>
        <w:t>Alroy </w:t>
      </w:r>
      <w:r>
        <w:rPr>
          <w:color w:val="231F20"/>
          <w:w w:val="105"/>
        </w:rPr>
        <w:t>joined the Board of Directors of SHL as a non-executive Director in December 2018. </w:t>
      </w:r>
      <w:r>
        <w:rPr>
          <w:color w:val="231F20"/>
          <w:spacing w:val="-5"/>
          <w:w w:val="105"/>
        </w:rPr>
        <w:t>Mr. </w:t>
      </w:r>
      <w:r>
        <w:rPr>
          <w:color w:val="231F20"/>
          <w:w w:val="105"/>
        </w:rPr>
        <w:t>Erez </w:t>
      </w:r>
      <w:r>
        <w:rPr>
          <w:color w:val="231F20"/>
          <w:spacing w:val="-3"/>
          <w:w w:val="105"/>
        </w:rPr>
        <w:t>Alroy </w:t>
      </w:r>
      <w:r>
        <w:rPr>
          <w:color w:val="231F20"/>
          <w:w w:val="105"/>
        </w:rPr>
        <w:t>served in various executive positions in SHL since its inception, and as its Co-CEO from 2000 to </w:t>
      </w:r>
      <w:r>
        <w:rPr>
          <w:color w:val="231F20"/>
          <w:spacing w:val="-3"/>
          <w:w w:val="105"/>
        </w:rPr>
        <w:t>January </w:t>
      </w:r>
      <w:r>
        <w:rPr>
          <w:color w:val="231F20"/>
          <w:w w:val="105"/>
        </w:rPr>
        <w:t>2015 and as a director from 2008 to 2014 and from 2016 to 2017. He is currently active in various investments and is a board member in Nano-X imaging Ltd. (Nasdaq:</w:t>
      </w:r>
      <w:r>
        <w:rPr>
          <w:color w:val="231F20"/>
          <w:spacing w:val="-3"/>
          <w:w w:val="105"/>
        </w:rPr>
        <w:t> NNOX) </w:t>
      </w:r>
      <w:r>
        <w:rPr>
          <w:color w:val="231F20"/>
          <w:w w:val="105"/>
        </w:rPr>
        <w:t>and</w:t>
      </w:r>
      <w:r>
        <w:rPr>
          <w:color w:val="231F20"/>
          <w:spacing w:val="-3"/>
          <w:w w:val="105"/>
        </w:rPr>
        <w:t> Ayelet, </w:t>
      </w:r>
      <w:r>
        <w:rPr>
          <w:color w:val="231F20"/>
          <w:w w:val="105"/>
        </w:rPr>
        <w:t>the Israeli Federation </w:t>
      </w:r>
      <w:r>
        <w:rPr>
          <w:color w:val="231F20"/>
          <w:spacing w:val="-3"/>
          <w:w w:val="105"/>
        </w:rPr>
        <w:t>for </w:t>
      </w:r>
      <w:r>
        <w:rPr>
          <w:color w:val="231F20"/>
          <w:w w:val="105"/>
        </w:rPr>
        <w:t>non-Olympic Sport. </w:t>
      </w:r>
      <w:r>
        <w:rPr>
          <w:color w:val="231F20"/>
          <w:spacing w:val="-5"/>
          <w:w w:val="105"/>
        </w:rPr>
        <w:t>Mr. </w:t>
      </w:r>
      <w:r>
        <w:rPr>
          <w:color w:val="231F20"/>
          <w:w w:val="105"/>
        </w:rPr>
        <w:t>Erez </w:t>
      </w:r>
      <w:r>
        <w:rPr>
          <w:color w:val="231F20"/>
          <w:spacing w:val="-3"/>
          <w:w w:val="105"/>
        </w:rPr>
        <w:t>Alroy </w:t>
      </w:r>
      <w:r>
        <w:rPr>
          <w:color w:val="231F20"/>
          <w:w w:val="105"/>
        </w:rPr>
        <w:t>holds an MBA from the Hebrew University in Jerusalem.</w:t>
      </w:r>
    </w:p>
    <w:p>
      <w:pPr>
        <w:pStyle w:val="BodyText"/>
        <w:spacing w:line="244" w:lineRule="auto" w:before="164"/>
        <w:ind w:left="1090" w:right="1767" w:firstLine="399"/>
      </w:pPr>
      <w:r>
        <w:rPr>
          <w:i/>
          <w:color w:val="231F20"/>
          <w:spacing w:val="-3"/>
          <w:w w:val="105"/>
        </w:rPr>
        <w:t>Prof. </w:t>
      </w:r>
      <w:r>
        <w:rPr>
          <w:i/>
          <w:color w:val="231F20"/>
          <w:w w:val="105"/>
        </w:rPr>
        <w:t>Amir Lerman </w:t>
      </w:r>
      <w:r>
        <w:rPr>
          <w:color w:val="231F20"/>
          <w:w w:val="105"/>
        </w:rPr>
        <w:t>joined the Board of  Directors of  SHL as a nonexecutive Director in 2016. </w:t>
      </w:r>
      <w:r>
        <w:rPr>
          <w:color w:val="231F20"/>
          <w:spacing w:val="-4"/>
          <w:w w:val="105"/>
        </w:rPr>
        <w:t>Prof. </w:t>
      </w:r>
      <w:r>
        <w:rPr>
          <w:color w:val="231F20"/>
          <w:w w:val="105"/>
        </w:rPr>
        <w:t>Lerman is the </w:t>
      </w:r>
      <w:r>
        <w:rPr>
          <w:color w:val="231F20"/>
          <w:spacing w:val="-3"/>
          <w:w w:val="105"/>
        </w:rPr>
        <w:t>Vice-Chair, </w:t>
      </w:r>
      <w:r>
        <w:rPr>
          <w:color w:val="231F20"/>
          <w:w w:val="105"/>
        </w:rPr>
        <w:t>Cardiovascular Department and the Director of the Cardiovascular Research Center </w:t>
      </w:r>
      <w:r>
        <w:rPr>
          <w:color w:val="231F20"/>
          <w:spacing w:val="-3"/>
          <w:w w:val="105"/>
        </w:rPr>
        <w:t>at </w:t>
      </w:r>
      <w:r>
        <w:rPr>
          <w:color w:val="231F20"/>
          <w:w w:val="105"/>
        </w:rPr>
        <w:t>the </w:t>
      </w:r>
      <w:r>
        <w:rPr>
          <w:color w:val="231F20"/>
          <w:spacing w:val="-4"/>
          <w:w w:val="105"/>
        </w:rPr>
        <w:t>Mayo </w:t>
      </w:r>
      <w:r>
        <w:rPr>
          <w:color w:val="231F20"/>
          <w:w w:val="105"/>
        </w:rPr>
        <w:t>Clinic in Rochester (USA) since 2010. He is </w:t>
      </w:r>
      <w:r>
        <w:rPr>
          <w:color w:val="231F20"/>
          <w:spacing w:val="-3"/>
          <w:w w:val="105"/>
        </w:rPr>
        <w:t>also </w:t>
      </w:r>
      <w:r>
        <w:rPr>
          <w:color w:val="231F20"/>
          <w:w w:val="105"/>
        </w:rPr>
        <w:t>the Program Director</w:t>
      </w:r>
      <w:r>
        <w:rPr>
          <w:color w:val="231F20"/>
          <w:spacing w:val="4"/>
          <w:w w:val="105"/>
        </w:rPr>
        <w:t> </w:t>
      </w:r>
      <w:r>
        <w:rPr>
          <w:color w:val="231F20"/>
          <w:spacing w:val="-3"/>
          <w:w w:val="105"/>
        </w:rPr>
        <w:t>for</w:t>
      </w:r>
    </w:p>
    <w:p>
      <w:pPr>
        <w:pStyle w:val="BodyText"/>
        <w:spacing w:line="244" w:lineRule="auto" w:before="3"/>
        <w:ind w:left="1090" w:right="1385"/>
      </w:pPr>
      <w:r>
        <w:rPr>
          <w:color w:val="231F20"/>
          <w:w w:val="105"/>
        </w:rPr>
        <w:t>vascular</w:t>
      </w:r>
      <w:r>
        <w:rPr>
          <w:color w:val="231F20"/>
          <w:spacing w:val="-14"/>
          <w:w w:val="105"/>
        </w:rPr>
        <w:t> </w:t>
      </w:r>
      <w:r>
        <w:rPr>
          <w:color w:val="231F20"/>
          <w:w w:val="105"/>
        </w:rPr>
        <w:t>and</w:t>
      </w:r>
      <w:r>
        <w:rPr>
          <w:color w:val="231F20"/>
          <w:spacing w:val="-13"/>
          <w:w w:val="105"/>
        </w:rPr>
        <w:t> </w:t>
      </w:r>
      <w:r>
        <w:rPr>
          <w:color w:val="231F20"/>
          <w:spacing w:val="-6"/>
          <w:w w:val="105"/>
        </w:rPr>
        <w:t>valve,</w:t>
      </w:r>
      <w:r>
        <w:rPr>
          <w:color w:val="231F20"/>
          <w:spacing w:val="-13"/>
          <w:w w:val="105"/>
        </w:rPr>
        <w:t> </w:t>
      </w:r>
      <w:r>
        <w:rPr>
          <w:color w:val="231F20"/>
          <w:w w:val="105"/>
        </w:rPr>
        <w:t>Center</w:t>
      </w:r>
      <w:r>
        <w:rPr>
          <w:color w:val="231F20"/>
          <w:spacing w:val="-13"/>
          <w:w w:val="105"/>
        </w:rPr>
        <w:t> </w:t>
      </w:r>
      <w:r>
        <w:rPr>
          <w:color w:val="231F20"/>
          <w:spacing w:val="-4"/>
          <w:w w:val="105"/>
        </w:rPr>
        <w:t>for</w:t>
      </w:r>
      <w:r>
        <w:rPr>
          <w:color w:val="231F20"/>
          <w:spacing w:val="-14"/>
          <w:w w:val="105"/>
        </w:rPr>
        <w:t> </w:t>
      </w:r>
      <w:r>
        <w:rPr>
          <w:color w:val="231F20"/>
          <w:spacing w:val="-3"/>
          <w:w w:val="105"/>
        </w:rPr>
        <w:t>Regenerative</w:t>
      </w:r>
      <w:r>
        <w:rPr>
          <w:color w:val="231F20"/>
          <w:spacing w:val="-13"/>
          <w:w w:val="105"/>
        </w:rPr>
        <w:t> </w:t>
      </w:r>
      <w:r>
        <w:rPr>
          <w:color w:val="231F20"/>
          <w:w w:val="105"/>
        </w:rPr>
        <w:t>Medicine</w:t>
      </w:r>
      <w:r>
        <w:rPr>
          <w:color w:val="231F20"/>
          <w:spacing w:val="-13"/>
          <w:w w:val="105"/>
        </w:rPr>
        <w:t> </w:t>
      </w:r>
      <w:r>
        <w:rPr>
          <w:color w:val="231F20"/>
          <w:spacing w:val="-4"/>
          <w:w w:val="105"/>
        </w:rPr>
        <w:t>at</w:t>
      </w:r>
      <w:r>
        <w:rPr>
          <w:color w:val="231F20"/>
          <w:spacing w:val="-13"/>
          <w:w w:val="105"/>
        </w:rPr>
        <w:t> </w:t>
      </w:r>
      <w:r>
        <w:rPr>
          <w:color w:val="231F20"/>
          <w:w w:val="105"/>
        </w:rPr>
        <w:t>the</w:t>
      </w:r>
      <w:r>
        <w:rPr>
          <w:color w:val="231F20"/>
          <w:spacing w:val="-14"/>
          <w:w w:val="105"/>
        </w:rPr>
        <w:t> </w:t>
      </w:r>
      <w:r>
        <w:rPr>
          <w:color w:val="231F20"/>
          <w:spacing w:val="-5"/>
          <w:w w:val="105"/>
        </w:rPr>
        <w:t>Mayo</w:t>
      </w:r>
      <w:r>
        <w:rPr>
          <w:color w:val="231F20"/>
          <w:spacing w:val="-13"/>
          <w:w w:val="105"/>
        </w:rPr>
        <w:t> </w:t>
      </w:r>
      <w:r>
        <w:rPr>
          <w:color w:val="231F20"/>
          <w:w w:val="105"/>
        </w:rPr>
        <w:t>Clinic,</w:t>
      </w:r>
      <w:r>
        <w:rPr>
          <w:color w:val="231F20"/>
          <w:spacing w:val="-13"/>
          <w:w w:val="105"/>
        </w:rPr>
        <w:t> </w:t>
      </w:r>
      <w:r>
        <w:rPr>
          <w:color w:val="231F20"/>
          <w:w w:val="105"/>
        </w:rPr>
        <w:t>since</w:t>
      </w:r>
      <w:r>
        <w:rPr>
          <w:color w:val="231F20"/>
          <w:spacing w:val="-13"/>
          <w:w w:val="105"/>
        </w:rPr>
        <w:t> </w:t>
      </w:r>
      <w:r>
        <w:rPr>
          <w:color w:val="231F20"/>
          <w:w w:val="105"/>
        </w:rPr>
        <w:t>2012.</w:t>
      </w:r>
      <w:r>
        <w:rPr>
          <w:color w:val="231F20"/>
          <w:spacing w:val="-14"/>
          <w:w w:val="105"/>
        </w:rPr>
        <w:t> </w:t>
      </w:r>
      <w:r>
        <w:rPr>
          <w:color w:val="231F20"/>
          <w:w w:val="105"/>
        </w:rPr>
        <w:t>In</w:t>
      </w:r>
      <w:r>
        <w:rPr>
          <w:color w:val="231F20"/>
          <w:spacing w:val="-13"/>
          <w:w w:val="105"/>
        </w:rPr>
        <w:t> </w:t>
      </w:r>
      <w:r>
        <w:rPr>
          <w:color w:val="231F20"/>
          <w:w w:val="105"/>
        </w:rPr>
        <w:t>addition,</w:t>
      </w:r>
      <w:r>
        <w:rPr>
          <w:color w:val="231F20"/>
          <w:spacing w:val="-13"/>
          <w:w w:val="105"/>
        </w:rPr>
        <w:t> </w:t>
      </w:r>
      <w:r>
        <w:rPr>
          <w:color w:val="231F20"/>
          <w:spacing w:val="-5"/>
          <w:w w:val="105"/>
        </w:rPr>
        <w:t>Prof.</w:t>
      </w:r>
      <w:r>
        <w:rPr>
          <w:color w:val="231F20"/>
          <w:spacing w:val="-13"/>
          <w:w w:val="105"/>
        </w:rPr>
        <w:t> </w:t>
      </w:r>
      <w:r>
        <w:rPr>
          <w:color w:val="231F20"/>
          <w:w w:val="105"/>
        </w:rPr>
        <w:t>Lerman serves as the Director of the </w:t>
      </w:r>
      <w:r>
        <w:rPr>
          <w:color w:val="231F20"/>
          <w:spacing w:val="-4"/>
          <w:w w:val="105"/>
        </w:rPr>
        <w:t>Mayo- </w:t>
      </w:r>
      <w:r>
        <w:rPr>
          <w:color w:val="231F20"/>
          <w:w w:val="105"/>
        </w:rPr>
        <w:t>Israeli startup company initiative as well as a faculty member </w:t>
      </w:r>
      <w:r>
        <w:rPr>
          <w:color w:val="231F20"/>
          <w:spacing w:val="-3"/>
          <w:w w:val="105"/>
        </w:rPr>
        <w:t>at </w:t>
      </w:r>
      <w:r>
        <w:rPr>
          <w:color w:val="231F20"/>
          <w:w w:val="105"/>
        </w:rPr>
        <w:t>the Mirage</w:t>
      </w:r>
      <w:r>
        <w:rPr>
          <w:color w:val="231F20"/>
          <w:spacing w:val="-5"/>
          <w:w w:val="105"/>
        </w:rPr>
        <w:t> </w:t>
      </w:r>
      <w:r>
        <w:rPr>
          <w:color w:val="231F20"/>
          <w:w w:val="105"/>
        </w:rPr>
        <w:t>Institute:</w:t>
      </w:r>
      <w:r>
        <w:rPr>
          <w:color w:val="231F20"/>
          <w:spacing w:val="-5"/>
          <w:w w:val="105"/>
        </w:rPr>
        <w:t> </w:t>
      </w:r>
      <w:r>
        <w:rPr>
          <w:color w:val="231F20"/>
          <w:w w:val="105"/>
        </w:rPr>
        <w:t>US-Israel</w:t>
      </w:r>
      <w:r>
        <w:rPr>
          <w:color w:val="231F20"/>
          <w:spacing w:val="-4"/>
          <w:w w:val="105"/>
        </w:rPr>
        <w:t> </w:t>
      </w:r>
      <w:r>
        <w:rPr>
          <w:color w:val="231F20"/>
          <w:w w:val="105"/>
        </w:rPr>
        <w:t>innovation</w:t>
      </w:r>
      <w:r>
        <w:rPr>
          <w:color w:val="231F20"/>
          <w:spacing w:val="-5"/>
          <w:w w:val="105"/>
        </w:rPr>
        <w:t> </w:t>
      </w:r>
      <w:r>
        <w:rPr>
          <w:color w:val="231F20"/>
          <w:w w:val="105"/>
        </w:rPr>
        <w:t>bridge</w:t>
      </w:r>
      <w:r>
        <w:rPr>
          <w:color w:val="231F20"/>
          <w:spacing w:val="-4"/>
          <w:w w:val="105"/>
        </w:rPr>
        <w:t> </w:t>
      </w:r>
      <w:r>
        <w:rPr>
          <w:color w:val="231F20"/>
          <w:w w:val="105"/>
        </w:rPr>
        <w:t>business</w:t>
      </w:r>
      <w:r>
        <w:rPr>
          <w:color w:val="231F20"/>
          <w:spacing w:val="-5"/>
          <w:w w:val="105"/>
        </w:rPr>
        <w:t> </w:t>
      </w:r>
      <w:r>
        <w:rPr>
          <w:color w:val="231F20"/>
          <w:w w:val="105"/>
        </w:rPr>
        <w:t>leadership</w:t>
      </w:r>
      <w:r>
        <w:rPr>
          <w:color w:val="231F20"/>
          <w:spacing w:val="-5"/>
          <w:w w:val="105"/>
        </w:rPr>
        <w:t> </w:t>
      </w:r>
      <w:r>
        <w:rPr>
          <w:color w:val="231F20"/>
          <w:w w:val="105"/>
        </w:rPr>
        <w:t>program,</w:t>
      </w:r>
      <w:r>
        <w:rPr>
          <w:color w:val="231F20"/>
          <w:spacing w:val="-4"/>
          <w:w w:val="105"/>
        </w:rPr>
        <w:t> </w:t>
      </w:r>
      <w:r>
        <w:rPr>
          <w:color w:val="231F20"/>
          <w:w w:val="105"/>
        </w:rPr>
        <w:t>since</w:t>
      </w:r>
      <w:r>
        <w:rPr>
          <w:color w:val="231F20"/>
          <w:spacing w:val="-5"/>
          <w:w w:val="105"/>
        </w:rPr>
        <w:t> </w:t>
      </w:r>
      <w:r>
        <w:rPr>
          <w:color w:val="231F20"/>
          <w:w w:val="105"/>
        </w:rPr>
        <w:t>2009,</w:t>
      </w:r>
      <w:r>
        <w:rPr>
          <w:color w:val="231F20"/>
          <w:spacing w:val="-4"/>
          <w:w w:val="105"/>
        </w:rPr>
        <w:t> </w:t>
      </w:r>
      <w:r>
        <w:rPr>
          <w:color w:val="231F20"/>
          <w:w w:val="105"/>
        </w:rPr>
        <w:t>in</w:t>
      </w:r>
      <w:r>
        <w:rPr>
          <w:color w:val="231F20"/>
          <w:spacing w:val="-5"/>
          <w:w w:val="105"/>
        </w:rPr>
        <w:t> </w:t>
      </w:r>
      <w:r>
        <w:rPr>
          <w:color w:val="231F20"/>
          <w:w w:val="105"/>
        </w:rPr>
        <w:t>addition</w:t>
      </w:r>
      <w:r>
        <w:rPr>
          <w:color w:val="231F20"/>
          <w:spacing w:val="-5"/>
          <w:w w:val="105"/>
        </w:rPr>
        <w:t> </w:t>
      </w:r>
      <w:r>
        <w:rPr>
          <w:color w:val="231F20"/>
          <w:w w:val="105"/>
        </w:rPr>
        <w:t>to</w:t>
      </w:r>
      <w:r>
        <w:rPr>
          <w:color w:val="231F20"/>
          <w:spacing w:val="-4"/>
          <w:w w:val="105"/>
        </w:rPr>
        <w:t> </w:t>
      </w:r>
      <w:r>
        <w:rPr>
          <w:color w:val="231F20"/>
          <w:w w:val="105"/>
        </w:rPr>
        <w:t>various other positions held </w:t>
      </w:r>
      <w:r>
        <w:rPr>
          <w:color w:val="231F20"/>
          <w:spacing w:val="-3"/>
          <w:w w:val="105"/>
        </w:rPr>
        <w:t>at </w:t>
      </w:r>
      <w:r>
        <w:rPr>
          <w:color w:val="231F20"/>
          <w:w w:val="105"/>
        </w:rPr>
        <w:t>the </w:t>
      </w:r>
      <w:r>
        <w:rPr>
          <w:color w:val="231F20"/>
          <w:spacing w:val="-4"/>
          <w:w w:val="105"/>
        </w:rPr>
        <w:t>Mayo </w:t>
      </w:r>
      <w:r>
        <w:rPr>
          <w:color w:val="231F20"/>
          <w:w w:val="105"/>
        </w:rPr>
        <w:t>Clinic. </w:t>
      </w:r>
      <w:r>
        <w:rPr>
          <w:color w:val="231F20"/>
          <w:spacing w:val="-4"/>
          <w:w w:val="105"/>
        </w:rPr>
        <w:t>Prof. </w:t>
      </w:r>
      <w:r>
        <w:rPr>
          <w:color w:val="231F20"/>
          <w:w w:val="105"/>
        </w:rPr>
        <w:t>Lerman </w:t>
      </w:r>
      <w:r>
        <w:rPr>
          <w:color w:val="231F20"/>
          <w:spacing w:val="-3"/>
          <w:w w:val="105"/>
        </w:rPr>
        <w:t>also </w:t>
      </w:r>
      <w:r>
        <w:rPr>
          <w:color w:val="231F20"/>
          <w:w w:val="105"/>
        </w:rPr>
        <w:t>holds an appointment as Professor of  Medicine  </w:t>
      </w:r>
      <w:r>
        <w:rPr>
          <w:color w:val="231F20"/>
          <w:spacing w:val="-3"/>
          <w:w w:val="105"/>
        </w:rPr>
        <w:t>at </w:t>
      </w:r>
      <w:r>
        <w:rPr>
          <w:color w:val="231F20"/>
          <w:w w:val="105"/>
        </w:rPr>
        <w:t>the </w:t>
      </w:r>
      <w:r>
        <w:rPr>
          <w:color w:val="231F20"/>
          <w:spacing w:val="-4"/>
          <w:w w:val="105"/>
        </w:rPr>
        <w:t>Mayo </w:t>
      </w:r>
      <w:r>
        <w:rPr>
          <w:color w:val="231F20"/>
          <w:w w:val="105"/>
        </w:rPr>
        <w:t>Medical School since 2001. </w:t>
      </w:r>
      <w:r>
        <w:rPr>
          <w:color w:val="231F20"/>
          <w:spacing w:val="-4"/>
          <w:w w:val="105"/>
        </w:rPr>
        <w:t>Prof. </w:t>
      </w:r>
      <w:r>
        <w:rPr>
          <w:color w:val="231F20"/>
          <w:w w:val="105"/>
        </w:rPr>
        <w:t>Lerman graduated from the Technion school of Medicine in Haifa Israel in 1985 and completed his training in internal medicine, cardiovascular diseases and </w:t>
      </w:r>
      <w:r>
        <w:rPr>
          <w:color w:val="231F20"/>
          <w:spacing w:val="-3"/>
          <w:w w:val="105"/>
        </w:rPr>
        <w:t>invasive </w:t>
      </w:r>
      <w:r>
        <w:rPr>
          <w:color w:val="231F20"/>
          <w:w w:val="105"/>
        </w:rPr>
        <w:t>cardiology </w:t>
      </w:r>
      <w:r>
        <w:rPr>
          <w:color w:val="231F20"/>
          <w:spacing w:val="-3"/>
          <w:w w:val="105"/>
        </w:rPr>
        <w:t>at </w:t>
      </w:r>
      <w:r>
        <w:rPr>
          <w:color w:val="231F20"/>
          <w:w w:val="105"/>
        </w:rPr>
        <w:t>the </w:t>
      </w:r>
      <w:r>
        <w:rPr>
          <w:color w:val="231F20"/>
          <w:spacing w:val="-4"/>
          <w:w w:val="105"/>
        </w:rPr>
        <w:t>Mayo </w:t>
      </w:r>
      <w:r>
        <w:rPr>
          <w:color w:val="231F20"/>
          <w:w w:val="105"/>
        </w:rPr>
        <w:t>Clinic in 1994. </w:t>
      </w:r>
      <w:r>
        <w:rPr>
          <w:color w:val="231F20"/>
          <w:spacing w:val="-4"/>
          <w:w w:val="105"/>
        </w:rPr>
        <w:t>Prof. </w:t>
      </w:r>
      <w:r>
        <w:rPr>
          <w:color w:val="231F20"/>
          <w:w w:val="105"/>
        </w:rPr>
        <w:t>Lerman published more than 500 manuscripts, book chapters and reviews; the NIH, AHA, and </w:t>
      </w:r>
      <w:r>
        <w:rPr>
          <w:color w:val="231F20"/>
          <w:spacing w:val="-3"/>
          <w:w w:val="105"/>
        </w:rPr>
        <w:t>several </w:t>
      </w:r>
      <w:r>
        <w:rPr>
          <w:color w:val="231F20"/>
          <w:w w:val="105"/>
        </w:rPr>
        <w:t>foundations support his</w:t>
      </w:r>
      <w:r>
        <w:rPr>
          <w:color w:val="231F20"/>
          <w:spacing w:val="-19"/>
          <w:w w:val="105"/>
        </w:rPr>
        <w:t> </w:t>
      </w:r>
      <w:r>
        <w:rPr>
          <w:color w:val="231F20"/>
          <w:w w:val="105"/>
        </w:rPr>
        <w:t>research.</w:t>
      </w:r>
    </w:p>
    <w:p>
      <w:pPr>
        <w:pStyle w:val="BodyText"/>
        <w:spacing w:line="244" w:lineRule="auto" w:before="167"/>
        <w:ind w:left="1090" w:right="1322" w:firstLine="399"/>
      </w:pPr>
      <w:r>
        <w:rPr>
          <w:i/>
          <w:color w:val="231F20"/>
          <w:spacing w:val="-7"/>
          <w:w w:val="105"/>
        </w:rPr>
        <w:t>Mr.</w:t>
      </w:r>
      <w:r>
        <w:rPr>
          <w:i/>
          <w:color w:val="231F20"/>
          <w:spacing w:val="-9"/>
          <w:w w:val="105"/>
        </w:rPr>
        <w:t> </w:t>
      </w:r>
      <w:r>
        <w:rPr>
          <w:i/>
          <w:color w:val="231F20"/>
          <w:w w:val="105"/>
        </w:rPr>
        <w:t>Erez</w:t>
      </w:r>
      <w:r>
        <w:rPr>
          <w:i/>
          <w:color w:val="231F20"/>
          <w:spacing w:val="-9"/>
          <w:w w:val="105"/>
        </w:rPr>
        <w:t> </w:t>
      </w:r>
      <w:r>
        <w:rPr>
          <w:i/>
          <w:color w:val="231F20"/>
          <w:w w:val="105"/>
        </w:rPr>
        <w:t>Nachtomy</w:t>
      </w:r>
      <w:r>
        <w:rPr>
          <w:i/>
          <w:color w:val="231F20"/>
          <w:spacing w:val="-8"/>
          <w:w w:val="105"/>
        </w:rPr>
        <w:t> </w:t>
      </w:r>
      <w:r>
        <w:rPr>
          <w:color w:val="231F20"/>
          <w:w w:val="105"/>
        </w:rPr>
        <w:t>joined</w:t>
      </w:r>
      <w:r>
        <w:rPr>
          <w:color w:val="231F20"/>
          <w:spacing w:val="-9"/>
          <w:w w:val="105"/>
        </w:rPr>
        <w:t> </w:t>
      </w:r>
      <w:r>
        <w:rPr>
          <w:color w:val="231F20"/>
          <w:w w:val="105"/>
        </w:rPr>
        <w:t>the</w:t>
      </w:r>
      <w:r>
        <w:rPr>
          <w:color w:val="231F20"/>
          <w:spacing w:val="-9"/>
          <w:w w:val="105"/>
        </w:rPr>
        <w:t> </w:t>
      </w:r>
      <w:r>
        <w:rPr>
          <w:color w:val="231F20"/>
          <w:w w:val="105"/>
        </w:rPr>
        <w:t>Board</w:t>
      </w:r>
      <w:r>
        <w:rPr>
          <w:color w:val="231F20"/>
          <w:spacing w:val="-8"/>
          <w:w w:val="105"/>
        </w:rPr>
        <w:t> </w:t>
      </w:r>
      <w:r>
        <w:rPr>
          <w:color w:val="231F20"/>
          <w:w w:val="105"/>
        </w:rPr>
        <w:t>of</w:t>
      </w:r>
      <w:r>
        <w:rPr>
          <w:color w:val="231F20"/>
          <w:spacing w:val="10"/>
          <w:w w:val="105"/>
        </w:rPr>
        <w:t> </w:t>
      </w:r>
      <w:r>
        <w:rPr>
          <w:color w:val="231F20"/>
          <w:w w:val="105"/>
        </w:rPr>
        <w:t>Directors</w:t>
      </w:r>
      <w:r>
        <w:rPr>
          <w:color w:val="231F20"/>
          <w:spacing w:val="-8"/>
          <w:w w:val="105"/>
        </w:rPr>
        <w:t> </w:t>
      </w:r>
      <w:r>
        <w:rPr>
          <w:color w:val="231F20"/>
          <w:w w:val="105"/>
        </w:rPr>
        <w:t>of</w:t>
      </w:r>
      <w:r>
        <w:rPr>
          <w:color w:val="231F20"/>
          <w:spacing w:val="10"/>
          <w:w w:val="105"/>
        </w:rPr>
        <w:t> </w:t>
      </w:r>
      <w:r>
        <w:rPr>
          <w:color w:val="231F20"/>
          <w:w w:val="105"/>
        </w:rPr>
        <w:t>SHL</w:t>
      </w:r>
      <w:r>
        <w:rPr>
          <w:color w:val="231F20"/>
          <w:spacing w:val="-8"/>
          <w:w w:val="105"/>
        </w:rPr>
        <w:t> </w:t>
      </w:r>
      <w:r>
        <w:rPr>
          <w:color w:val="231F20"/>
          <w:w w:val="105"/>
        </w:rPr>
        <w:t>as</w:t>
      </w:r>
      <w:r>
        <w:rPr>
          <w:color w:val="231F20"/>
          <w:spacing w:val="-9"/>
          <w:w w:val="105"/>
        </w:rPr>
        <w:t> </w:t>
      </w:r>
      <w:r>
        <w:rPr>
          <w:color w:val="231F20"/>
          <w:w w:val="105"/>
        </w:rPr>
        <w:t>a</w:t>
      </w:r>
      <w:r>
        <w:rPr>
          <w:color w:val="231F20"/>
          <w:spacing w:val="-9"/>
          <w:w w:val="105"/>
        </w:rPr>
        <w:t> </w:t>
      </w:r>
      <w:r>
        <w:rPr>
          <w:color w:val="231F20"/>
          <w:w w:val="105"/>
        </w:rPr>
        <w:t>non-executive</w:t>
      </w:r>
      <w:r>
        <w:rPr>
          <w:color w:val="231F20"/>
          <w:spacing w:val="-8"/>
          <w:w w:val="105"/>
        </w:rPr>
        <w:t> </w:t>
      </w:r>
      <w:r>
        <w:rPr>
          <w:color w:val="231F20"/>
          <w:w w:val="105"/>
        </w:rPr>
        <w:t>Director</w:t>
      </w:r>
      <w:r>
        <w:rPr>
          <w:color w:val="231F20"/>
          <w:spacing w:val="-9"/>
          <w:w w:val="105"/>
        </w:rPr>
        <w:t> </w:t>
      </w:r>
      <w:r>
        <w:rPr>
          <w:color w:val="231F20"/>
          <w:w w:val="105"/>
        </w:rPr>
        <w:t>in</w:t>
      </w:r>
      <w:r>
        <w:rPr>
          <w:color w:val="231F20"/>
          <w:spacing w:val="-9"/>
          <w:w w:val="105"/>
        </w:rPr>
        <w:t> </w:t>
      </w:r>
      <w:r>
        <w:rPr>
          <w:color w:val="231F20"/>
          <w:w w:val="105"/>
        </w:rPr>
        <w:t>December</w:t>
      </w:r>
      <w:r>
        <w:rPr>
          <w:color w:val="231F20"/>
          <w:spacing w:val="-8"/>
          <w:w w:val="105"/>
        </w:rPr>
        <w:t> </w:t>
      </w:r>
      <w:r>
        <w:rPr>
          <w:color w:val="231F20"/>
          <w:w w:val="105"/>
        </w:rPr>
        <w:t>2018 and became an executive director following his nomination as the </w:t>
      </w:r>
      <w:r>
        <w:rPr>
          <w:color w:val="231F20"/>
          <w:spacing w:val="-3"/>
          <w:w w:val="105"/>
        </w:rPr>
        <w:t>Company’s </w:t>
      </w:r>
      <w:r>
        <w:rPr>
          <w:color w:val="231F20"/>
          <w:w w:val="105"/>
        </w:rPr>
        <w:t>CEO, since </w:t>
      </w:r>
      <w:r>
        <w:rPr>
          <w:color w:val="231F20"/>
          <w:spacing w:val="-3"/>
          <w:w w:val="105"/>
        </w:rPr>
        <w:t>May </w:t>
      </w:r>
      <w:r>
        <w:rPr>
          <w:color w:val="231F20"/>
          <w:w w:val="105"/>
        </w:rPr>
        <w:t>2020. </w:t>
      </w:r>
      <w:r>
        <w:rPr>
          <w:color w:val="231F20"/>
          <w:spacing w:val="-4"/>
          <w:w w:val="105"/>
        </w:rPr>
        <w:t>From </w:t>
      </w:r>
      <w:r>
        <w:rPr>
          <w:color w:val="231F20"/>
          <w:w w:val="105"/>
        </w:rPr>
        <w:t>1989 until 2001, </w:t>
      </w:r>
      <w:r>
        <w:rPr>
          <w:color w:val="231F20"/>
          <w:spacing w:val="-5"/>
          <w:w w:val="105"/>
        </w:rPr>
        <w:t>Mr. </w:t>
      </w:r>
      <w:r>
        <w:rPr>
          <w:color w:val="231F20"/>
          <w:w w:val="105"/>
        </w:rPr>
        <w:t>Nachtomy practiced </w:t>
      </w:r>
      <w:r>
        <w:rPr>
          <w:color w:val="231F20"/>
          <w:spacing w:val="-4"/>
          <w:w w:val="105"/>
        </w:rPr>
        <w:t>law </w:t>
      </w:r>
      <w:r>
        <w:rPr>
          <w:color w:val="231F20"/>
          <w:spacing w:val="-3"/>
          <w:w w:val="105"/>
        </w:rPr>
        <w:t>at </w:t>
      </w:r>
      <w:r>
        <w:rPr>
          <w:color w:val="231F20"/>
          <w:w w:val="105"/>
        </w:rPr>
        <w:t>a leading Israeli </w:t>
      </w:r>
      <w:r>
        <w:rPr>
          <w:color w:val="231F20"/>
          <w:spacing w:val="-4"/>
          <w:w w:val="105"/>
        </w:rPr>
        <w:t>law </w:t>
      </w:r>
      <w:r>
        <w:rPr>
          <w:color w:val="231F20"/>
          <w:w w:val="105"/>
        </w:rPr>
        <w:t>firm — </w:t>
      </w:r>
      <w:r>
        <w:rPr>
          <w:color w:val="231F20"/>
          <w:spacing w:val="-6"/>
          <w:w w:val="105"/>
        </w:rPr>
        <w:t>Weksler, </w:t>
      </w:r>
      <w:r>
        <w:rPr>
          <w:color w:val="231F20"/>
          <w:w w:val="105"/>
        </w:rPr>
        <w:t>Bregman &amp; </w:t>
      </w:r>
      <w:r>
        <w:rPr>
          <w:color w:val="231F20"/>
          <w:spacing w:val="-3"/>
          <w:w w:val="105"/>
        </w:rPr>
        <w:t>Co., </w:t>
      </w:r>
      <w:r>
        <w:rPr>
          <w:color w:val="231F20"/>
          <w:w w:val="105"/>
        </w:rPr>
        <w:t>becoming a partner in the firm in 1994 and later on promoted to a senior partner. In March 2001, he joined the</w:t>
      </w:r>
      <w:r>
        <w:rPr>
          <w:color w:val="231F20"/>
          <w:spacing w:val="-19"/>
          <w:w w:val="105"/>
        </w:rPr>
        <w:t> </w:t>
      </w:r>
      <w:r>
        <w:rPr>
          <w:color w:val="231F20"/>
          <w:spacing w:val="-3"/>
          <w:w w:val="105"/>
        </w:rPr>
        <w:t>executive</w:t>
      </w:r>
      <w:r>
        <w:rPr>
          <w:color w:val="231F20"/>
          <w:spacing w:val="-20"/>
          <w:w w:val="105"/>
        </w:rPr>
        <w:t> </w:t>
      </w:r>
      <w:r>
        <w:rPr>
          <w:color w:val="231F20"/>
          <w:w w:val="105"/>
        </w:rPr>
        <w:t>team</w:t>
      </w:r>
      <w:r>
        <w:rPr>
          <w:color w:val="231F20"/>
          <w:spacing w:val="-19"/>
          <w:w w:val="105"/>
        </w:rPr>
        <w:t> </w:t>
      </w:r>
      <w:r>
        <w:rPr>
          <w:color w:val="231F20"/>
          <w:w w:val="105"/>
        </w:rPr>
        <w:t>of</w:t>
      </w:r>
      <w:r>
        <w:rPr>
          <w:color w:val="231F20"/>
          <w:spacing w:val="-1"/>
          <w:w w:val="105"/>
        </w:rPr>
        <w:t> </w:t>
      </w:r>
      <w:r>
        <w:rPr>
          <w:color w:val="231F20"/>
          <w:w w:val="105"/>
        </w:rPr>
        <w:t>SHL,</w:t>
      </w:r>
      <w:r>
        <w:rPr>
          <w:color w:val="231F20"/>
          <w:spacing w:val="-19"/>
          <w:w w:val="105"/>
        </w:rPr>
        <w:t> </w:t>
      </w:r>
      <w:r>
        <w:rPr>
          <w:color w:val="231F20"/>
          <w:w w:val="105"/>
        </w:rPr>
        <w:t>as</w:t>
      </w:r>
      <w:r>
        <w:rPr>
          <w:color w:val="231F20"/>
          <w:spacing w:val="-19"/>
          <w:w w:val="105"/>
        </w:rPr>
        <w:t> </w:t>
      </w:r>
      <w:r>
        <w:rPr>
          <w:color w:val="231F20"/>
          <w:w w:val="105"/>
        </w:rPr>
        <w:t>Vice</w:t>
      </w:r>
      <w:r>
        <w:rPr>
          <w:color w:val="231F20"/>
          <w:spacing w:val="-19"/>
          <w:w w:val="105"/>
        </w:rPr>
        <w:t> </w:t>
      </w:r>
      <w:r>
        <w:rPr>
          <w:color w:val="231F20"/>
          <w:w w:val="105"/>
        </w:rPr>
        <w:t>President,</w:t>
      </w:r>
      <w:r>
        <w:rPr>
          <w:color w:val="231F20"/>
          <w:spacing w:val="-19"/>
          <w:w w:val="105"/>
        </w:rPr>
        <w:t> </w:t>
      </w:r>
      <w:r>
        <w:rPr>
          <w:color w:val="231F20"/>
          <w:w w:val="105"/>
        </w:rPr>
        <w:t>and</w:t>
      </w:r>
      <w:r>
        <w:rPr>
          <w:color w:val="231F20"/>
          <w:spacing w:val="-19"/>
          <w:w w:val="105"/>
        </w:rPr>
        <w:t> </w:t>
      </w:r>
      <w:r>
        <w:rPr>
          <w:color w:val="231F20"/>
          <w:spacing w:val="-3"/>
          <w:w w:val="105"/>
        </w:rPr>
        <w:t>from</w:t>
      </w:r>
      <w:r>
        <w:rPr>
          <w:color w:val="231F20"/>
          <w:spacing w:val="-19"/>
          <w:w w:val="105"/>
        </w:rPr>
        <w:t> </w:t>
      </w:r>
      <w:r>
        <w:rPr>
          <w:color w:val="231F20"/>
          <w:spacing w:val="-4"/>
          <w:w w:val="105"/>
        </w:rPr>
        <w:t>January</w:t>
      </w:r>
      <w:r>
        <w:rPr>
          <w:color w:val="231F20"/>
          <w:spacing w:val="-19"/>
          <w:w w:val="105"/>
        </w:rPr>
        <w:t> </w:t>
      </w:r>
      <w:r>
        <w:rPr>
          <w:color w:val="231F20"/>
          <w:w w:val="105"/>
        </w:rPr>
        <w:t>2005</w:t>
      </w:r>
      <w:r>
        <w:rPr>
          <w:color w:val="231F20"/>
          <w:spacing w:val="-19"/>
          <w:w w:val="105"/>
        </w:rPr>
        <w:t> </w:t>
      </w:r>
      <w:r>
        <w:rPr>
          <w:color w:val="231F20"/>
          <w:w w:val="105"/>
        </w:rPr>
        <w:t>to</w:t>
      </w:r>
      <w:r>
        <w:rPr>
          <w:color w:val="231F20"/>
          <w:spacing w:val="-19"/>
          <w:w w:val="105"/>
        </w:rPr>
        <w:t> </w:t>
      </w:r>
      <w:r>
        <w:rPr>
          <w:color w:val="231F20"/>
          <w:w w:val="105"/>
        </w:rPr>
        <w:t>December</w:t>
      </w:r>
      <w:r>
        <w:rPr>
          <w:color w:val="231F20"/>
          <w:spacing w:val="-19"/>
          <w:w w:val="105"/>
        </w:rPr>
        <w:t> </w:t>
      </w:r>
      <w:r>
        <w:rPr>
          <w:color w:val="231F20"/>
          <w:w w:val="105"/>
        </w:rPr>
        <w:t>2016</w:t>
      </w:r>
      <w:r>
        <w:rPr>
          <w:color w:val="231F20"/>
          <w:spacing w:val="-19"/>
          <w:w w:val="105"/>
        </w:rPr>
        <w:t> </w:t>
      </w:r>
      <w:r>
        <w:rPr>
          <w:color w:val="231F20"/>
          <w:w w:val="105"/>
        </w:rPr>
        <w:t>he</w:t>
      </w:r>
      <w:r>
        <w:rPr>
          <w:color w:val="231F20"/>
          <w:spacing w:val="-19"/>
          <w:w w:val="105"/>
        </w:rPr>
        <w:t> </w:t>
      </w:r>
      <w:r>
        <w:rPr>
          <w:color w:val="231F20"/>
          <w:w w:val="105"/>
        </w:rPr>
        <w:t>served</w:t>
      </w:r>
      <w:r>
        <w:rPr>
          <w:color w:val="231F20"/>
          <w:spacing w:val="-19"/>
          <w:w w:val="105"/>
        </w:rPr>
        <w:t> </w:t>
      </w:r>
      <w:r>
        <w:rPr>
          <w:color w:val="231F20"/>
          <w:w w:val="105"/>
        </w:rPr>
        <w:t>as</w:t>
      </w:r>
      <w:r>
        <w:rPr>
          <w:color w:val="231F20"/>
          <w:spacing w:val="-19"/>
          <w:w w:val="105"/>
        </w:rPr>
        <w:t> </w:t>
      </w:r>
      <w:r>
        <w:rPr>
          <w:color w:val="231F20"/>
          <w:w w:val="105"/>
        </w:rPr>
        <w:t>Executive Vice</w:t>
      </w:r>
      <w:r>
        <w:rPr>
          <w:color w:val="231F20"/>
          <w:spacing w:val="-6"/>
          <w:w w:val="105"/>
        </w:rPr>
        <w:t> </w:t>
      </w:r>
      <w:r>
        <w:rPr>
          <w:color w:val="231F20"/>
          <w:w w:val="105"/>
        </w:rPr>
        <w:t>President</w:t>
      </w:r>
      <w:r>
        <w:rPr>
          <w:color w:val="231F20"/>
          <w:spacing w:val="-6"/>
          <w:w w:val="105"/>
        </w:rPr>
        <w:t> </w:t>
      </w:r>
      <w:r>
        <w:rPr>
          <w:color w:val="231F20"/>
          <w:w w:val="105"/>
        </w:rPr>
        <w:t>of</w:t>
      </w:r>
      <w:r>
        <w:rPr>
          <w:color w:val="231F20"/>
          <w:spacing w:val="13"/>
          <w:w w:val="105"/>
        </w:rPr>
        <w:t> </w:t>
      </w:r>
      <w:r>
        <w:rPr>
          <w:color w:val="231F20"/>
          <w:w w:val="105"/>
        </w:rPr>
        <w:t>the</w:t>
      </w:r>
      <w:r>
        <w:rPr>
          <w:color w:val="231F20"/>
          <w:spacing w:val="-5"/>
          <w:w w:val="105"/>
        </w:rPr>
        <w:t> </w:t>
      </w:r>
      <w:r>
        <w:rPr>
          <w:color w:val="231F20"/>
          <w:spacing w:val="-4"/>
          <w:w w:val="105"/>
        </w:rPr>
        <w:t>Company.</w:t>
      </w:r>
      <w:r>
        <w:rPr>
          <w:color w:val="231F20"/>
          <w:spacing w:val="-6"/>
          <w:w w:val="105"/>
        </w:rPr>
        <w:t> </w:t>
      </w:r>
      <w:r>
        <w:rPr>
          <w:color w:val="231F20"/>
          <w:w w:val="105"/>
        </w:rPr>
        <w:t>Since</w:t>
      </w:r>
      <w:r>
        <w:rPr>
          <w:color w:val="231F20"/>
          <w:spacing w:val="-5"/>
          <w:w w:val="105"/>
        </w:rPr>
        <w:t> </w:t>
      </w:r>
      <w:r>
        <w:rPr>
          <w:color w:val="231F20"/>
          <w:w w:val="105"/>
        </w:rPr>
        <w:t>2017</w:t>
      </w:r>
      <w:r>
        <w:rPr>
          <w:color w:val="231F20"/>
          <w:spacing w:val="-6"/>
          <w:w w:val="105"/>
        </w:rPr>
        <w:t> </w:t>
      </w:r>
      <w:r>
        <w:rPr>
          <w:color w:val="231F20"/>
          <w:w w:val="105"/>
        </w:rPr>
        <w:t>he</w:t>
      </w:r>
      <w:r>
        <w:rPr>
          <w:color w:val="231F20"/>
          <w:spacing w:val="-5"/>
          <w:w w:val="105"/>
        </w:rPr>
        <w:t> </w:t>
      </w:r>
      <w:r>
        <w:rPr>
          <w:color w:val="231F20"/>
          <w:w w:val="105"/>
        </w:rPr>
        <w:t>is</w:t>
      </w:r>
      <w:r>
        <w:rPr>
          <w:color w:val="231F20"/>
          <w:spacing w:val="-6"/>
          <w:w w:val="105"/>
        </w:rPr>
        <w:t> </w:t>
      </w:r>
      <w:r>
        <w:rPr>
          <w:color w:val="231F20"/>
          <w:w w:val="105"/>
        </w:rPr>
        <w:t>an</w:t>
      </w:r>
      <w:r>
        <w:rPr>
          <w:color w:val="231F20"/>
          <w:spacing w:val="-5"/>
          <w:w w:val="105"/>
        </w:rPr>
        <w:t> </w:t>
      </w:r>
      <w:r>
        <w:rPr>
          <w:color w:val="231F20"/>
          <w:w w:val="105"/>
        </w:rPr>
        <w:t>investor</w:t>
      </w:r>
      <w:r>
        <w:rPr>
          <w:color w:val="231F20"/>
          <w:spacing w:val="-6"/>
          <w:w w:val="105"/>
        </w:rPr>
        <w:t> </w:t>
      </w:r>
      <w:r>
        <w:rPr>
          <w:color w:val="231F20"/>
          <w:w w:val="105"/>
        </w:rPr>
        <w:t>and</w:t>
      </w:r>
      <w:r>
        <w:rPr>
          <w:color w:val="231F20"/>
          <w:spacing w:val="-5"/>
          <w:w w:val="105"/>
        </w:rPr>
        <w:t> </w:t>
      </w:r>
      <w:r>
        <w:rPr>
          <w:color w:val="231F20"/>
          <w:w w:val="105"/>
        </w:rPr>
        <w:t>a</w:t>
      </w:r>
      <w:r>
        <w:rPr>
          <w:color w:val="231F20"/>
          <w:spacing w:val="-6"/>
          <w:w w:val="105"/>
        </w:rPr>
        <w:t> </w:t>
      </w:r>
      <w:r>
        <w:rPr>
          <w:color w:val="231F20"/>
          <w:w w:val="105"/>
        </w:rPr>
        <w:t>businessman</w:t>
      </w:r>
      <w:r>
        <w:rPr>
          <w:color w:val="231F20"/>
          <w:spacing w:val="-6"/>
          <w:w w:val="105"/>
        </w:rPr>
        <w:t> </w:t>
      </w:r>
      <w:r>
        <w:rPr>
          <w:color w:val="231F20"/>
          <w:w w:val="105"/>
        </w:rPr>
        <w:t>specializing</w:t>
      </w:r>
      <w:r>
        <w:rPr>
          <w:color w:val="231F20"/>
          <w:spacing w:val="-5"/>
          <w:w w:val="105"/>
        </w:rPr>
        <w:t> </w:t>
      </w:r>
      <w:r>
        <w:rPr>
          <w:color w:val="231F20"/>
          <w:w w:val="105"/>
        </w:rPr>
        <w:t>in</w:t>
      </w:r>
      <w:r>
        <w:rPr>
          <w:color w:val="231F20"/>
          <w:spacing w:val="-6"/>
          <w:w w:val="105"/>
        </w:rPr>
        <w:t> </w:t>
      </w:r>
      <w:r>
        <w:rPr>
          <w:color w:val="231F20"/>
          <w:w w:val="105"/>
        </w:rPr>
        <w:t>strategic</w:t>
      </w:r>
    </w:p>
    <w:p>
      <w:pPr>
        <w:spacing w:after="0" w:line="244" w:lineRule="auto"/>
        <w:sectPr>
          <w:pgSz w:w="11880" w:h="15480"/>
          <w:pgMar w:header="0" w:footer="664" w:top="940" w:bottom="860" w:left="300" w:right="0"/>
        </w:sectPr>
      </w:pPr>
    </w:p>
    <w:p>
      <w:pPr>
        <w:pStyle w:val="BodyText"/>
        <w:spacing w:line="252" w:lineRule="auto" w:before="87"/>
        <w:ind w:left="1090" w:right="1379"/>
      </w:pPr>
      <w:r>
        <w:rPr>
          <w:color w:val="231F20"/>
          <w:w w:val="110"/>
        </w:rPr>
        <w:t>planning,</w:t>
      </w:r>
      <w:r>
        <w:rPr>
          <w:color w:val="231F20"/>
          <w:spacing w:val="-25"/>
          <w:w w:val="110"/>
        </w:rPr>
        <w:t> </w:t>
      </w:r>
      <w:r>
        <w:rPr>
          <w:color w:val="231F20"/>
          <w:w w:val="110"/>
        </w:rPr>
        <w:t>M&amp;A</w:t>
      </w:r>
      <w:r>
        <w:rPr>
          <w:color w:val="231F20"/>
          <w:spacing w:val="-25"/>
          <w:w w:val="110"/>
        </w:rPr>
        <w:t> </w:t>
      </w:r>
      <w:r>
        <w:rPr>
          <w:color w:val="231F20"/>
          <w:w w:val="110"/>
        </w:rPr>
        <w:t>transactions,</w:t>
      </w:r>
      <w:r>
        <w:rPr>
          <w:color w:val="231F20"/>
          <w:spacing w:val="-25"/>
          <w:w w:val="110"/>
        </w:rPr>
        <w:t> </w:t>
      </w:r>
      <w:r>
        <w:rPr>
          <w:color w:val="231F20"/>
          <w:w w:val="110"/>
        </w:rPr>
        <w:t>and</w:t>
      </w:r>
      <w:r>
        <w:rPr>
          <w:color w:val="231F20"/>
          <w:spacing w:val="-24"/>
          <w:w w:val="110"/>
        </w:rPr>
        <w:t> </w:t>
      </w:r>
      <w:r>
        <w:rPr>
          <w:color w:val="231F20"/>
          <w:w w:val="110"/>
        </w:rPr>
        <w:t>capital</w:t>
      </w:r>
      <w:r>
        <w:rPr>
          <w:color w:val="231F20"/>
          <w:spacing w:val="-25"/>
          <w:w w:val="110"/>
        </w:rPr>
        <w:t> </w:t>
      </w:r>
      <w:r>
        <w:rPr>
          <w:color w:val="231F20"/>
          <w:w w:val="110"/>
        </w:rPr>
        <w:t>raising</w:t>
      </w:r>
      <w:r>
        <w:rPr>
          <w:color w:val="231F20"/>
          <w:spacing w:val="-25"/>
          <w:w w:val="110"/>
        </w:rPr>
        <w:t> </w:t>
      </w:r>
      <w:r>
        <w:rPr>
          <w:color w:val="231F20"/>
          <w:w w:val="110"/>
        </w:rPr>
        <w:t>and</w:t>
      </w:r>
      <w:r>
        <w:rPr>
          <w:color w:val="231F20"/>
          <w:spacing w:val="-24"/>
          <w:w w:val="110"/>
        </w:rPr>
        <w:t> </w:t>
      </w:r>
      <w:r>
        <w:rPr>
          <w:color w:val="231F20"/>
          <w:w w:val="110"/>
        </w:rPr>
        <w:t>business</w:t>
      </w:r>
      <w:r>
        <w:rPr>
          <w:color w:val="231F20"/>
          <w:spacing w:val="-25"/>
          <w:w w:val="110"/>
        </w:rPr>
        <w:t> </w:t>
      </w:r>
      <w:r>
        <w:rPr>
          <w:color w:val="231F20"/>
          <w:w w:val="110"/>
        </w:rPr>
        <w:t>development.</w:t>
      </w:r>
      <w:r>
        <w:rPr>
          <w:color w:val="231F20"/>
          <w:spacing w:val="-25"/>
          <w:w w:val="110"/>
        </w:rPr>
        <w:t> </w:t>
      </w:r>
      <w:r>
        <w:rPr>
          <w:color w:val="231F20"/>
          <w:w w:val="110"/>
        </w:rPr>
        <w:t>He</w:t>
      </w:r>
      <w:r>
        <w:rPr>
          <w:color w:val="231F20"/>
          <w:spacing w:val="-24"/>
          <w:w w:val="110"/>
        </w:rPr>
        <w:t> </w:t>
      </w:r>
      <w:r>
        <w:rPr>
          <w:color w:val="231F20"/>
          <w:w w:val="110"/>
        </w:rPr>
        <w:t>serves</w:t>
      </w:r>
      <w:r>
        <w:rPr>
          <w:color w:val="231F20"/>
          <w:spacing w:val="-25"/>
          <w:w w:val="110"/>
        </w:rPr>
        <w:t> </w:t>
      </w:r>
      <w:r>
        <w:rPr>
          <w:color w:val="231F20"/>
          <w:w w:val="110"/>
        </w:rPr>
        <w:t>as</w:t>
      </w:r>
      <w:r>
        <w:rPr>
          <w:color w:val="231F20"/>
          <w:spacing w:val="-25"/>
          <w:w w:val="110"/>
        </w:rPr>
        <w:t> </w:t>
      </w:r>
      <w:r>
        <w:rPr>
          <w:color w:val="231F20"/>
          <w:w w:val="110"/>
        </w:rPr>
        <w:t>a</w:t>
      </w:r>
      <w:r>
        <w:rPr>
          <w:color w:val="231F20"/>
          <w:spacing w:val="-25"/>
          <w:w w:val="110"/>
        </w:rPr>
        <w:t> </w:t>
      </w:r>
      <w:r>
        <w:rPr>
          <w:color w:val="231F20"/>
          <w:w w:val="110"/>
        </w:rPr>
        <w:t>Board</w:t>
      </w:r>
      <w:r>
        <w:rPr>
          <w:color w:val="231F20"/>
          <w:spacing w:val="-24"/>
          <w:w w:val="110"/>
        </w:rPr>
        <w:t> </w:t>
      </w:r>
      <w:r>
        <w:rPr>
          <w:color w:val="231F20"/>
          <w:w w:val="110"/>
        </w:rPr>
        <w:t>Member and</w:t>
      </w:r>
      <w:r>
        <w:rPr>
          <w:color w:val="231F20"/>
          <w:spacing w:val="-20"/>
          <w:w w:val="110"/>
        </w:rPr>
        <w:t> </w:t>
      </w:r>
      <w:r>
        <w:rPr>
          <w:color w:val="231F20"/>
          <w:w w:val="110"/>
        </w:rPr>
        <w:t>officer</w:t>
      </w:r>
      <w:r>
        <w:rPr>
          <w:color w:val="231F20"/>
          <w:spacing w:val="-20"/>
          <w:w w:val="110"/>
        </w:rPr>
        <w:t> </w:t>
      </w:r>
      <w:r>
        <w:rPr>
          <w:color w:val="231F20"/>
          <w:w w:val="110"/>
        </w:rPr>
        <w:t>of</w:t>
      </w:r>
      <w:r>
        <w:rPr>
          <w:color w:val="231F20"/>
          <w:spacing w:val="-6"/>
          <w:w w:val="110"/>
        </w:rPr>
        <w:t> UAS</w:t>
      </w:r>
      <w:r>
        <w:rPr>
          <w:color w:val="231F20"/>
          <w:spacing w:val="-20"/>
          <w:w w:val="110"/>
        </w:rPr>
        <w:t> </w:t>
      </w:r>
      <w:r>
        <w:rPr>
          <w:color w:val="231F20"/>
          <w:w w:val="110"/>
        </w:rPr>
        <w:t>Drone</w:t>
      </w:r>
      <w:r>
        <w:rPr>
          <w:color w:val="231F20"/>
          <w:spacing w:val="-20"/>
          <w:w w:val="110"/>
        </w:rPr>
        <w:t> </w:t>
      </w:r>
      <w:r>
        <w:rPr>
          <w:color w:val="231F20"/>
          <w:spacing w:val="-3"/>
          <w:w w:val="110"/>
        </w:rPr>
        <w:t>Corp.,</w:t>
      </w:r>
      <w:r>
        <w:rPr>
          <w:color w:val="231F20"/>
          <w:spacing w:val="-20"/>
          <w:w w:val="110"/>
        </w:rPr>
        <w:t> </w:t>
      </w:r>
      <w:r>
        <w:rPr>
          <w:color w:val="231F20"/>
          <w:w w:val="110"/>
        </w:rPr>
        <w:t>a</w:t>
      </w:r>
      <w:r>
        <w:rPr>
          <w:color w:val="231F20"/>
          <w:spacing w:val="-20"/>
          <w:w w:val="110"/>
        </w:rPr>
        <w:t> </w:t>
      </w:r>
      <w:r>
        <w:rPr>
          <w:color w:val="231F20"/>
          <w:w w:val="110"/>
        </w:rPr>
        <w:t>reporting</w:t>
      </w:r>
      <w:r>
        <w:rPr>
          <w:color w:val="231F20"/>
          <w:spacing w:val="-20"/>
          <w:w w:val="110"/>
        </w:rPr>
        <w:t> </w:t>
      </w:r>
      <w:r>
        <w:rPr>
          <w:color w:val="231F20"/>
          <w:spacing w:val="-7"/>
          <w:w w:val="110"/>
        </w:rPr>
        <w:t>U.S.</w:t>
      </w:r>
      <w:r>
        <w:rPr>
          <w:color w:val="231F20"/>
          <w:spacing w:val="-20"/>
          <w:w w:val="110"/>
        </w:rPr>
        <w:t> </w:t>
      </w:r>
      <w:r>
        <w:rPr>
          <w:color w:val="231F20"/>
          <w:w w:val="110"/>
        </w:rPr>
        <w:t>corporation.</w:t>
      </w:r>
      <w:r>
        <w:rPr>
          <w:color w:val="231F20"/>
          <w:spacing w:val="-20"/>
          <w:w w:val="110"/>
        </w:rPr>
        <w:t> </w:t>
      </w:r>
      <w:r>
        <w:rPr>
          <w:color w:val="231F20"/>
          <w:spacing w:val="-5"/>
          <w:w w:val="110"/>
        </w:rPr>
        <w:t>Mr.</w:t>
      </w:r>
      <w:r>
        <w:rPr>
          <w:color w:val="231F20"/>
          <w:spacing w:val="-20"/>
          <w:w w:val="110"/>
        </w:rPr>
        <w:t> </w:t>
      </w:r>
      <w:r>
        <w:rPr>
          <w:color w:val="231F20"/>
          <w:w w:val="110"/>
        </w:rPr>
        <w:t>Nachtomy</w:t>
      </w:r>
      <w:r>
        <w:rPr>
          <w:color w:val="231F20"/>
          <w:spacing w:val="-20"/>
          <w:w w:val="110"/>
        </w:rPr>
        <w:t> </w:t>
      </w:r>
      <w:r>
        <w:rPr>
          <w:color w:val="231F20"/>
          <w:w w:val="110"/>
        </w:rPr>
        <w:t>holds</w:t>
      </w:r>
      <w:r>
        <w:rPr>
          <w:color w:val="231F20"/>
          <w:spacing w:val="-20"/>
          <w:w w:val="110"/>
        </w:rPr>
        <w:t> </w:t>
      </w:r>
      <w:r>
        <w:rPr>
          <w:color w:val="231F20"/>
          <w:w w:val="110"/>
        </w:rPr>
        <w:t>an</w:t>
      </w:r>
      <w:r>
        <w:rPr>
          <w:color w:val="231F20"/>
          <w:spacing w:val="-20"/>
          <w:w w:val="110"/>
        </w:rPr>
        <w:t> </w:t>
      </w:r>
      <w:r>
        <w:rPr>
          <w:color w:val="231F20"/>
          <w:w w:val="110"/>
        </w:rPr>
        <w:t>LL.B.</w:t>
      </w:r>
      <w:r>
        <w:rPr>
          <w:color w:val="231F20"/>
          <w:spacing w:val="-20"/>
          <w:w w:val="110"/>
        </w:rPr>
        <w:t> </w:t>
      </w:r>
      <w:r>
        <w:rPr>
          <w:color w:val="231F20"/>
          <w:w w:val="110"/>
        </w:rPr>
        <w:t>from</w:t>
      </w:r>
      <w:r>
        <w:rPr>
          <w:color w:val="231F20"/>
          <w:spacing w:val="-20"/>
          <w:w w:val="110"/>
        </w:rPr>
        <w:t> </w:t>
      </w:r>
      <w:r>
        <w:rPr>
          <w:color w:val="231F20"/>
          <w:spacing w:val="-6"/>
          <w:w w:val="110"/>
        </w:rPr>
        <w:t>Tel</w:t>
      </w:r>
      <w:r>
        <w:rPr>
          <w:color w:val="231F20"/>
          <w:spacing w:val="-20"/>
          <w:w w:val="110"/>
        </w:rPr>
        <w:t> </w:t>
      </w:r>
      <w:r>
        <w:rPr>
          <w:color w:val="231F20"/>
          <w:spacing w:val="-6"/>
          <w:w w:val="110"/>
        </w:rPr>
        <w:t>Aviv </w:t>
      </w:r>
      <w:r>
        <w:rPr>
          <w:color w:val="231F20"/>
          <w:spacing w:val="-3"/>
          <w:w w:val="110"/>
        </w:rPr>
        <w:t>University,</w:t>
      </w:r>
      <w:r>
        <w:rPr>
          <w:color w:val="231F20"/>
          <w:spacing w:val="-8"/>
          <w:w w:val="110"/>
        </w:rPr>
        <w:t> </w:t>
      </w:r>
      <w:r>
        <w:rPr>
          <w:color w:val="231F20"/>
          <w:w w:val="110"/>
        </w:rPr>
        <w:t>Israel,</w:t>
      </w:r>
      <w:r>
        <w:rPr>
          <w:color w:val="231F20"/>
          <w:spacing w:val="-8"/>
          <w:w w:val="110"/>
        </w:rPr>
        <w:t> </w:t>
      </w:r>
      <w:r>
        <w:rPr>
          <w:color w:val="231F20"/>
          <w:w w:val="110"/>
        </w:rPr>
        <w:t>and</w:t>
      </w:r>
      <w:r>
        <w:rPr>
          <w:color w:val="231F20"/>
          <w:spacing w:val="-7"/>
          <w:w w:val="110"/>
        </w:rPr>
        <w:t> </w:t>
      </w:r>
      <w:r>
        <w:rPr>
          <w:color w:val="231F20"/>
          <w:w w:val="110"/>
        </w:rPr>
        <w:t>he</w:t>
      </w:r>
      <w:r>
        <w:rPr>
          <w:color w:val="231F20"/>
          <w:spacing w:val="-8"/>
          <w:w w:val="110"/>
        </w:rPr>
        <w:t> </w:t>
      </w:r>
      <w:r>
        <w:rPr>
          <w:color w:val="231F20"/>
          <w:w w:val="110"/>
        </w:rPr>
        <w:t>is</w:t>
      </w:r>
      <w:r>
        <w:rPr>
          <w:color w:val="231F20"/>
          <w:spacing w:val="-7"/>
          <w:w w:val="110"/>
        </w:rPr>
        <w:t> </w:t>
      </w:r>
      <w:r>
        <w:rPr>
          <w:color w:val="231F20"/>
          <w:w w:val="110"/>
        </w:rPr>
        <w:t>a</w:t>
      </w:r>
      <w:r>
        <w:rPr>
          <w:color w:val="231F20"/>
          <w:spacing w:val="-8"/>
          <w:w w:val="110"/>
        </w:rPr>
        <w:t> </w:t>
      </w:r>
      <w:r>
        <w:rPr>
          <w:color w:val="231F20"/>
          <w:w w:val="110"/>
        </w:rPr>
        <w:t>member</w:t>
      </w:r>
      <w:r>
        <w:rPr>
          <w:color w:val="231F20"/>
          <w:spacing w:val="-7"/>
          <w:w w:val="110"/>
        </w:rPr>
        <w:t> </w:t>
      </w:r>
      <w:r>
        <w:rPr>
          <w:color w:val="231F20"/>
          <w:w w:val="110"/>
        </w:rPr>
        <w:t>of</w:t>
      </w:r>
      <w:r>
        <w:rPr>
          <w:color w:val="231F20"/>
          <w:spacing w:val="11"/>
          <w:w w:val="110"/>
        </w:rPr>
        <w:t> </w:t>
      </w:r>
      <w:r>
        <w:rPr>
          <w:color w:val="231F20"/>
          <w:w w:val="110"/>
        </w:rPr>
        <w:t>the</w:t>
      </w:r>
      <w:r>
        <w:rPr>
          <w:color w:val="231F20"/>
          <w:spacing w:val="-8"/>
          <w:w w:val="110"/>
        </w:rPr>
        <w:t> </w:t>
      </w:r>
      <w:r>
        <w:rPr>
          <w:color w:val="231F20"/>
          <w:w w:val="110"/>
        </w:rPr>
        <w:t>Israeli</w:t>
      </w:r>
      <w:r>
        <w:rPr>
          <w:color w:val="231F20"/>
          <w:spacing w:val="-7"/>
          <w:w w:val="110"/>
        </w:rPr>
        <w:t> </w:t>
      </w:r>
      <w:r>
        <w:rPr>
          <w:color w:val="231F20"/>
          <w:spacing w:val="-4"/>
          <w:w w:val="110"/>
        </w:rPr>
        <w:t>Bar.</w:t>
      </w:r>
    </w:p>
    <w:p>
      <w:pPr>
        <w:pStyle w:val="BodyText"/>
        <w:spacing w:line="252" w:lineRule="auto" w:before="160"/>
        <w:ind w:left="1090" w:right="1386" w:firstLine="399"/>
      </w:pPr>
      <w:r>
        <w:rPr>
          <w:color w:val="231F20"/>
          <w:w w:val="105"/>
        </w:rPr>
        <w:t>Each current director-nominee elected </w:t>
      </w:r>
      <w:r>
        <w:rPr>
          <w:color w:val="231F20"/>
          <w:spacing w:val="-3"/>
          <w:w w:val="105"/>
        </w:rPr>
        <w:t>at </w:t>
      </w:r>
      <w:r>
        <w:rPr>
          <w:color w:val="231F20"/>
          <w:w w:val="105"/>
        </w:rPr>
        <w:t>the Meeting will serve until the next </w:t>
      </w:r>
      <w:r>
        <w:rPr>
          <w:color w:val="231F20"/>
          <w:spacing w:val="-3"/>
          <w:w w:val="105"/>
        </w:rPr>
        <w:t>annual </w:t>
      </w:r>
      <w:r>
        <w:rPr>
          <w:color w:val="231F20"/>
          <w:w w:val="105"/>
        </w:rPr>
        <w:t>meeting of our shareholders and until his or her respective successor has been duly elected and qualified or until his or her office is vacated in accordance with our Articles of Association or the Israel Companies </w:t>
      </w:r>
      <w:r>
        <w:rPr>
          <w:color w:val="231F20"/>
          <w:spacing w:val="-9"/>
          <w:w w:val="105"/>
        </w:rPr>
        <w:t>Law. </w:t>
      </w:r>
      <w:r>
        <w:rPr>
          <w:color w:val="231F20"/>
          <w:w w:val="105"/>
        </w:rPr>
        <w:t>If each of our current director-nominees is reelected pursuant to this Proposal 2 and if each of Proposals 3 and 4 below (the election of Ido Nouberger and Nir </w:t>
      </w:r>
      <w:r>
        <w:rPr>
          <w:color w:val="231F20"/>
          <w:spacing w:val="-3"/>
          <w:w w:val="105"/>
        </w:rPr>
        <w:t>Rotenberg, respectively, </w:t>
      </w:r>
      <w:r>
        <w:rPr>
          <w:color w:val="231F20"/>
          <w:w w:val="105"/>
        </w:rPr>
        <w:t>as directors) is </w:t>
      </w:r>
      <w:r>
        <w:rPr>
          <w:color w:val="231F20"/>
          <w:spacing w:val="-3"/>
          <w:w w:val="105"/>
        </w:rPr>
        <w:t>approved, </w:t>
      </w:r>
      <w:r>
        <w:rPr>
          <w:color w:val="231F20"/>
          <w:w w:val="105"/>
        </w:rPr>
        <w:t>this will result in our </w:t>
      </w:r>
      <w:r>
        <w:rPr>
          <w:color w:val="231F20"/>
          <w:spacing w:val="-3"/>
          <w:w w:val="105"/>
        </w:rPr>
        <w:t>having </w:t>
      </w:r>
      <w:r>
        <w:rPr>
          <w:color w:val="231F20"/>
          <w:w w:val="105"/>
        </w:rPr>
        <w:t>ten directors (including our </w:t>
      </w:r>
      <w:r>
        <w:rPr>
          <w:color w:val="231F20"/>
          <w:spacing w:val="-3"/>
          <w:w w:val="105"/>
        </w:rPr>
        <w:t>two </w:t>
      </w:r>
      <w:r>
        <w:rPr>
          <w:color w:val="231F20"/>
          <w:w w:val="105"/>
        </w:rPr>
        <w:t>current external directors). If Proposal 1 </w:t>
      </w:r>
      <w:r>
        <w:rPr>
          <w:color w:val="231F20"/>
          <w:spacing w:val="-4"/>
          <w:w w:val="105"/>
        </w:rPr>
        <w:t>(approval </w:t>
      </w:r>
      <w:r>
        <w:rPr>
          <w:color w:val="231F20"/>
          <w:w w:val="105"/>
        </w:rPr>
        <w:t>of the amendment of our Articles) is not </w:t>
      </w:r>
      <w:r>
        <w:rPr>
          <w:color w:val="231F20"/>
          <w:spacing w:val="-3"/>
          <w:w w:val="105"/>
        </w:rPr>
        <w:t>approved, </w:t>
      </w:r>
      <w:r>
        <w:rPr>
          <w:color w:val="231F20"/>
          <w:w w:val="105"/>
        </w:rPr>
        <w:t>this number will exceed the maximum number (nine) permitted under our current Articles of Association. In such case we will act in accordance with Article 33(c) of our Articles</w:t>
      </w:r>
      <w:r>
        <w:rPr>
          <w:color w:val="231F20"/>
          <w:spacing w:val="-9"/>
          <w:w w:val="105"/>
        </w:rPr>
        <w:t> </w:t>
      </w:r>
      <w:r>
        <w:rPr>
          <w:color w:val="231F20"/>
          <w:w w:val="105"/>
        </w:rPr>
        <w:t>of</w:t>
      </w:r>
      <w:r>
        <w:rPr>
          <w:color w:val="231F20"/>
          <w:spacing w:val="10"/>
          <w:w w:val="105"/>
        </w:rPr>
        <w:t> </w:t>
      </w:r>
      <w:r>
        <w:rPr>
          <w:color w:val="231F20"/>
          <w:w w:val="105"/>
        </w:rPr>
        <w:t>Association,</w:t>
      </w:r>
      <w:r>
        <w:rPr>
          <w:color w:val="231F20"/>
          <w:spacing w:val="-9"/>
          <w:w w:val="105"/>
        </w:rPr>
        <w:t> </w:t>
      </w:r>
      <w:r>
        <w:rPr>
          <w:color w:val="231F20"/>
          <w:w w:val="105"/>
        </w:rPr>
        <w:t>which</w:t>
      </w:r>
      <w:r>
        <w:rPr>
          <w:color w:val="231F20"/>
          <w:spacing w:val="-8"/>
          <w:w w:val="105"/>
        </w:rPr>
        <w:t> </w:t>
      </w:r>
      <w:r>
        <w:rPr>
          <w:color w:val="231F20"/>
          <w:w w:val="105"/>
        </w:rPr>
        <w:t>provides</w:t>
      </w:r>
      <w:r>
        <w:rPr>
          <w:color w:val="231F20"/>
          <w:spacing w:val="-9"/>
          <w:w w:val="105"/>
        </w:rPr>
        <w:t> </w:t>
      </w:r>
      <w:r>
        <w:rPr>
          <w:color w:val="231F20"/>
          <w:w w:val="105"/>
        </w:rPr>
        <w:t>that</w:t>
      </w:r>
      <w:r>
        <w:rPr>
          <w:color w:val="231F20"/>
          <w:spacing w:val="-9"/>
          <w:w w:val="105"/>
        </w:rPr>
        <w:t> </w:t>
      </w:r>
      <w:r>
        <w:rPr>
          <w:color w:val="231F20"/>
          <w:w w:val="105"/>
        </w:rPr>
        <w:t>in</w:t>
      </w:r>
      <w:r>
        <w:rPr>
          <w:color w:val="231F20"/>
          <w:spacing w:val="-9"/>
          <w:w w:val="105"/>
        </w:rPr>
        <w:t> </w:t>
      </w:r>
      <w:r>
        <w:rPr>
          <w:color w:val="231F20"/>
          <w:w w:val="105"/>
        </w:rPr>
        <w:t>such</w:t>
      </w:r>
      <w:r>
        <w:rPr>
          <w:color w:val="231F20"/>
          <w:spacing w:val="-8"/>
          <w:w w:val="105"/>
        </w:rPr>
        <w:t> </w:t>
      </w:r>
      <w:r>
        <w:rPr>
          <w:color w:val="231F20"/>
          <w:w w:val="105"/>
        </w:rPr>
        <w:t>an</w:t>
      </w:r>
      <w:r>
        <w:rPr>
          <w:color w:val="231F20"/>
          <w:spacing w:val="-9"/>
          <w:w w:val="105"/>
        </w:rPr>
        <w:t> </w:t>
      </w:r>
      <w:r>
        <w:rPr>
          <w:color w:val="231F20"/>
          <w:w w:val="105"/>
        </w:rPr>
        <w:t>event</w:t>
      </w:r>
      <w:r>
        <w:rPr>
          <w:color w:val="231F20"/>
          <w:spacing w:val="-9"/>
          <w:w w:val="105"/>
        </w:rPr>
        <w:t> </w:t>
      </w:r>
      <w:r>
        <w:rPr>
          <w:color w:val="231F20"/>
          <w:w w:val="105"/>
        </w:rPr>
        <w:t>those</w:t>
      </w:r>
      <w:r>
        <w:rPr>
          <w:color w:val="231F20"/>
          <w:spacing w:val="-8"/>
          <w:w w:val="105"/>
        </w:rPr>
        <w:t> </w:t>
      </w:r>
      <w:r>
        <w:rPr>
          <w:color w:val="231F20"/>
          <w:w w:val="105"/>
        </w:rPr>
        <w:t>candidates</w:t>
      </w:r>
      <w:r>
        <w:rPr>
          <w:color w:val="231F20"/>
          <w:spacing w:val="-9"/>
          <w:w w:val="105"/>
        </w:rPr>
        <w:t> </w:t>
      </w:r>
      <w:r>
        <w:rPr>
          <w:color w:val="231F20"/>
          <w:w w:val="105"/>
        </w:rPr>
        <w:t>who</w:t>
      </w:r>
      <w:r>
        <w:rPr>
          <w:color w:val="231F20"/>
          <w:spacing w:val="-9"/>
          <w:w w:val="105"/>
        </w:rPr>
        <w:t> </w:t>
      </w:r>
      <w:r>
        <w:rPr>
          <w:color w:val="231F20"/>
          <w:w w:val="105"/>
        </w:rPr>
        <w:t>receive</w:t>
      </w:r>
      <w:r>
        <w:rPr>
          <w:color w:val="231F20"/>
          <w:spacing w:val="-9"/>
          <w:w w:val="105"/>
        </w:rPr>
        <w:t> </w:t>
      </w:r>
      <w:r>
        <w:rPr>
          <w:color w:val="231F20"/>
          <w:w w:val="105"/>
        </w:rPr>
        <w:t>the</w:t>
      </w:r>
      <w:r>
        <w:rPr>
          <w:color w:val="231F20"/>
          <w:spacing w:val="-8"/>
          <w:w w:val="105"/>
        </w:rPr>
        <w:t> </w:t>
      </w:r>
      <w:r>
        <w:rPr>
          <w:color w:val="231F20"/>
          <w:w w:val="105"/>
        </w:rPr>
        <w:t>higher</w:t>
      </w:r>
      <w:r>
        <w:rPr>
          <w:color w:val="231F20"/>
          <w:spacing w:val="-9"/>
          <w:w w:val="105"/>
        </w:rPr>
        <w:t> </w:t>
      </w:r>
      <w:r>
        <w:rPr>
          <w:color w:val="231F20"/>
          <w:w w:val="105"/>
        </w:rPr>
        <w:t>number of votes will be</w:t>
      </w:r>
      <w:r>
        <w:rPr>
          <w:color w:val="231F20"/>
          <w:spacing w:val="3"/>
          <w:w w:val="105"/>
        </w:rPr>
        <w:t> </w:t>
      </w:r>
      <w:r>
        <w:rPr>
          <w:color w:val="231F20"/>
          <w:w w:val="105"/>
        </w:rPr>
        <w:t>elected.</w:t>
      </w:r>
    </w:p>
    <w:p>
      <w:pPr>
        <w:pStyle w:val="Heading2"/>
        <w:spacing w:before="233"/>
      </w:pPr>
      <w:r>
        <w:rPr>
          <w:color w:val="231F20"/>
        </w:rPr>
        <w:t>Proposed Resolutions</w:t>
      </w:r>
    </w:p>
    <w:p>
      <w:pPr>
        <w:pStyle w:val="BodyText"/>
        <w:spacing w:before="169"/>
        <w:ind w:left="1489"/>
      </w:pPr>
      <w:r>
        <w:rPr>
          <w:color w:val="231F20"/>
          <w:w w:val="105"/>
        </w:rPr>
        <w:t>You are requested to adopt the following resolutions:</w:t>
      </w:r>
    </w:p>
    <w:p>
      <w:pPr>
        <w:pStyle w:val="BodyText"/>
        <w:spacing w:line="249" w:lineRule="auto" w:before="169"/>
        <w:ind w:left="1090" w:right="1322" w:firstLine="399"/>
      </w:pPr>
      <w:r>
        <w:rPr>
          <w:color w:val="231F20"/>
          <w:w w:val="105"/>
        </w:rPr>
        <w:t>“2.a.</w:t>
      </w:r>
      <w:r>
        <w:rPr>
          <w:color w:val="231F20"/>
          <w:spacing w:val="-5"/>
          <w:w w:val="105"/>
        </w:rPr>
        <w:t> </w:t>
      </w:r>
      <w:r>
        <w:rPr>
          <w:color w:val="231F20"/>
          <w:spacing w:val="-4"/>
          <w:w w:val="105"/>
        </w:rPr>
        <w:t>“RESOLVED,</w:t>
      </w:r>
      <w:r>
        <w:rPr>
          <w:color w:val="231F20"/>
          <w:spacing w:val="-5"/>
          <w:w w:val="105"/>
        </w:rPr>
        <w:t> </w:t>
      </w:r>
      <w:r>
        <w:rPr>
          <w:color w:val="231F20"/>
          <w:w w:val="105"/>
        </w:rPr>
        <w:t>that</w:t>
      </w:r>
      <w:r>
        <w:rPr>
          <w:color w:val="231F20"/>
          <w:spacing w:val="-4"/>
          <w:w w:val="105"/>
        </w:rPr>
        <w:t> </w:t>
      </w:r>
      <w:r>
        <w:rPr>
          <w:color w:val="231F20"/>
          <w:spacing w:val="-5"/>
          <w:w w:val="105"/>
        </w:rPr>
        <w:t>Mr. Yariv</w:t>
      </w:r>
      <w:r>
        <w:rPr>
          <w:color w:val="231F20"/>
          <w:spacing w:val="-4"/>
          <w:w w:val="105"/>
        </w:rPr>
        <w:t> </w:t>
      </w:r>
      <w:r>
        <w:rPr>
          <w:color w:val="231F20"/>
          <w:spacing w:val="-3"/>
          <w:w w:val="105"/>
        </w:rPr>
        <w:t>Alroy</w:t>
      </w:r>
      <w:r>
        <w:rPr>
          <w:color w:val="231F20"/>
          <w:spacing w:val="-5"/>
          <w:w w:val="105"/>
        </w:rPr>
        <w:t> </w:t>
      </w:r>
      <w:r>
        <w:rPr>
          <w:color w:val="231F20"/>
          <w:w w:val="105"/>
        </w:rPr>
        <w:t>be</w:t>
      </w:r>
      <w:r>
        <w:rPr>
          <w:color w:val="231F20"/>
          <w:spacing w:val="-4"/>
          <w:w w:val="105"/>
        </w:rPr>
        <w:t> </w:t>
      </w:r>
      <w:r>
        <w:rPr>
          <w:color w:val="231F20"/>
          <w:w w:val="105"/>
        </w:rPr>
        <w:t>reelected</w:t>
      </w:r>
      <w:r>
        <w:rPr>
          <w:color w:val="231F20"/>
          <w:spacing w:val="-5"/>
          <w:w w:val="105"/>
        </w:rPr>
        <w:t> </w:t>
      </w:r>
      <w:r>
        <w:rPr>
          <w:color w:val="231F20"/>
          <w:w w:val="105"/>
        </w:rPr>
        <w:t>as</w:t>
      </w:r>
      <w:r>
        <w:rPr>
          <w:color w:val="231F20"/>
          <w:spacing w:val="-4"/>
          <w:w w:val="105"/>
        </w:rPr>
        <w:t> </w:t>
      </w:r>
      <w:r>
        <w:rPr>
          <w:color w:val="231F20"/>
          <w:w w:val="105"/>
        </w:rPr>
        <w:t>a</w:t>
      </w:r>
      <w:r>
        <w:rPr>
          <w:color w:val="231F20"/>
          <w:spacing w:val="-5"/>
          <w:w w:val="105"/>
        </w:rPr>
        <w:t> </w:t>
      </w:r>
      <w:r>
        <w:rPr>
          <w:color w:val="231F20"/>
          <w:spacing w:val="-3"/>
          <w:w w:val="105"/>
        </w:rPr>
        <w:t>director,</w:t>
      </w:r>
      <w:r>
        <w:rPr>
          <w:color w:val="231F20"/>
          <w:spacing w:val="-4"/>
          <w:w w:val="105"/>
        </w:rPr>
        <w:t> </w:t>
      </w:r>
      <w:r>
        <w:rPr>
          <w:color w:val="231F20"/>
          <w:w w:val="105"/>
        </w:rPr>
        <w:t>to</w:t>
      </w:r>
      <w:r>
        <w:rPr>
          <w:color w:val="231F20"/>
          <w:spacing w:val="-5"/>
          <w:w w:val="105"/>
        </w:rPr>
        <w:t> </w:t>
      </w:r>
      <w:r>
        <w:rPr>
          <w:color w:val="231F20"/>
          <w:w w:val="105"/>
        </w:rPr>
        <w:t>serve</w:t>
      </w:r>
      <w:r>
        <w:rPr>
          <w:color w:val="231F20"/>
          <w:spacing w:val="-4"/>
          <w:w w:val="105"/>
        </w:rPr>
        <w:t> </w:t>
      </w:r>
      <w:r>
        <w:rPr>
          <w:color w:val="231F20"/>
          <w:w w:val="105"/>
        </w:rPr>
        <w:t>until</w:t>
      </w:r>
      <w:r>
        <w:rPr>
          <w:color w:val="231F20"/>
          <w:spacing w:val="-5"/>
          <w:w w:val="105"/>
        </w:rPr>
        <w:t> </w:t>
      </w:r>
      <w:r>
        <w:rPr>
          <w:color w:val="231F20"/>
          <w:w w:val="105"/>
        </w:rPr>
        <w:t>the</w:t>
      </w:r>
      <w:r>
        <w:rPr>
          <w:color w:val="231F20"/>
          <w:spacing w:val="-4"/>
          <w:w w:val="105"/>
        </w:rPr>
        <w:t> </w:t>
      </w:r>
      <w:r>
        <w:rPr>
          <w:color w:val="231F20"/>
          <w:w w:val="105"/>
        </w:rPr>
        <w:t>next</w:t>
      </w:r>
      <w:r>
        <w:rPr>
          <w:color w:val="231F20"/>
          <w:spacing w:val="-5"/>
          <w:w w:val="105"/>
        </w:rPr>
        <w:t> </w:t>
      </w:r>
      <w:r>
        <w:rPr>
          <w:color w:val="231F20"/>
          <w:spacing w:val="-3"/>
          <w:w w:val="105"/>
        </w:rPr>
        <w:t>annual</w:t>
      </w:r>
      <w:r>
        <w:rPr>
          <w:color w:val="231F20"/>
          <w:spacing w:val="-4"/>
          <w:w w:val="105"/>
        </w:rPr>
        <w:t> </w:t>
      </w:r>
      <w:r>
        <w:rPr>
          <w:color w:val="231F20"/>
          <w:w w:val="105"/>
        </w:rPr>
        <w:t>meeting of</w:t>
      </w:r>
      <w:r>
        <w:rPr>
          <w:color w:val="231F20"/>
          <w:spacing w:val="15"/>
          <w:w w:val="105"/>
        </w:rPr>
        <w:t> </w:t>
      </w:r>
      <w:r>
        <w:rPr>
          <w:color w:val="231F20"/>
          <w:w w:val="105"/>
        </w:rPr>
        <w:t>shareholders”;</w:t>
      </w:r>
    </w:p>
    <w:p>
      <w:pPr>
        <w:pStyle w:val="BodyText"/>
        <w:spacing w:line="249" w:lineRule="auto" w:before="161"/>
        <w:ind w:left="1090" w:right="1322" w:firstLine="399"/>
      </w:pPr>
      <w:r>
        <w:rPr>
          <w:color w:val="231F20"/>
          <w:spacing w:val="-3"/>
          <w:w w:val="105"/>
        </w:rPr>
        <w:t>“2.b. </w:t>
      </w:r>
      <w:r>
        <w:rPr>
          <w:color w:val="231F20"/>
          <w:spacing w:val="-4"/>
          <w:w w:val="105"/>
        </w:rPr>
        <w:t>RESOLVED, </w:t>
      </w:r>
      <w:r>
        <w:rPr>
          <w:color w:val="231F20"/>
          <w:w w:val="105"/>
        </w:rPr>
        <w:t>that </w:t>
      </w:r>
      <w:r>
        <w:rPr>
          <w:color w:val="231F20"/>
          <w:spacing w:val="-5"/>
          <w:w w:val="105"/>
        </w:rPr>
        <w:t>Mr. </w:t>
      </w:r>
      <w:r>
        <w:rPr>
          <w:color w:val="231F20"/>
          <w:w w:val="105"/>
        </w:rPr>
        <w:t>Ehud </w:t>
      </w:r>
      <w:r>
        <w:rPr>
          <w:color w:val="231F20"/>
          <w:spacing w:val="-3"/>
          <w:w w:val="105"/>
        </w:rPr>
        <w:t>Barak </w:t>
      </w:r>
      <w:r>
        <w:rPr>
          <w:color w:val="231F20"/>
          <w:w w:val="105"/>
        </w:rPr>
        <w:t>be reelected as a </w:t>
      </w:r>
      <w:r>
        <w:rPr>
          <w:color w:val="231F20"/>
          <w:spacing w:val="-3"/>
          <w:w w:val="105"/>
        </w:rPr>
        <w:t>director, </w:t>
      </w:r>
      <w:r>
        <w:rPr>
          <w:color w:val="231F20"/>
          <w:w w:val="105"/>
        </w:rPr>
        <w:t>to serve until the next </w:t>
      </w:r>
      <w:r>
        <w:rPr>
          <w:color w:val="231F20"/>
          <w:spacing w:val="-3"/>
          <w:w w:val="105"/>
        </w:rPr>
        <w:t>annual </w:t>
      </w:r>
      <w:r>
        <w:rPr>
          <w:color w:val="231F20"/>
          <w:w w:val="105"/>
        </w:rPr>
        <w:t>meeting of</w:t>
      </w:r>
      <w:r>
        <w:rPr>
          <w:color w:val="231F20"/>
          <w:spacing w:val="15"/>
          <w:w w:val="105"/>
        </w:rPr>
        <w:t> </w:t>
      </w:r>
      <w:r>
        <w:rPr>
          <w:color w:val="231F20"/>
          <w:w w:val="105"/>
        </w:rPr>
        <w:t>shareholders”;</w:t>
      </w:r>
    </w:p>
    <w:p>
      <w:pPr>
        <w:pStyle w:val="BodyText"/>
        <w:spacing w:line="249" w:lineRule="auto" w:before="160"/>
        <w:ind w:left="1090" w:right="1322" w:firstLine="399"/>
      </w:pPr>
      <w:r>
        <w:rPr>
          <w:color w:val="231F20"/>
          <w:w w:val="105"/>
        </w:rPr>
        <w:t>“2.c.</w:t>
      </w:r>
      <w:r>
        <w:rPr>
          <w:color w:val="231F20"/>
          <w:spacing w:val="-6"/>
          <w:w w:val="105"/>
        </w:rPr>
        <w:t> </w:t>
      </w:r>
      <w:r>
        <w:rPr>
          <w:color w:val="231F20"/>
          <w:spacing w:val="-4"/>
          <w:w w:val="105"/>
        </w:rPr>
        <w:t>RESOLVED,</w:t>
      </w:r>
      <w:r>
        <w:rPr>
          <w:color w:val="231F20"/>
          <w:spacing w:val="-6"/>
          <w:w w:val="105"/>
        </w:rPr>
        <w:t> </w:t>
      </w:r>
      <w:r>
        <w:rPr>
          <w:color w:val="231F20"/>
          <w:w w:val="105"/>
        </w:rPr>
        <w:t>that</w:t>
      </w:r>
      <w:r>
        <w:rPr>
          <w:color w:val="231F20"/>
          <w:spacing w:val="-6"/>
          <w:w w:val="105"/>
        </w:rPr>
        <w:t> </w:t>
      </w:r>
      <w:r>
        <w:rPr>
          <w:color w:val="231F20"/>
          <w:spacing w:val="-5"/>
          <w:w w:val="105"/>
        </w:rPr>
        <w:t>Mr. </w:t>
      </w:r>
      <w:r>
        <w:rPr>
          <w:color w:val="231F20"/>
          <w:spacing w:val="-3"/>
          <w:w w:val="105"/>
        </w:rPr>
        <w:t>David</w:t>
      </w:r>
      <w:r>
        <w:rPr>
          <w:color w:val="231F20"/>
          <w:spacing w:val="-6"/>
          <w:w w:val="105"/>
        </w:rPr>
        <w:t> </w:t>
      </w:r>
      <w:r>
        <w:rPr>
          <w:color w:val="231F20"/>
          <w:w w:val="105"/>
        </w:rPr>
        <w:t>Salton</w:t>
      </w:r>
      <w:r>
        <w:rPr>
          <w:color w:val="231F20"/>
          <w:spacing w:val="-6"/>
          <w:w w:val="105"/>
        </w:rPr>
        <w:t> </w:t>
      </w:r>
      <w:r>
        <w:rPr>
          <w:color w:val="231F20"/>
          <w:w w:val="105"/>
        </w:rPr>
        <w:t>be</w:t>
      </w:r>
      <w:r>
        <w:rPr>
          <w:color w:val="231F20"/>
          <w:spacing w:val="-5"/>
          <w:w w:val="105"/>
        </w:rPr>
        <w:t> </w:t>
      </w:r>
      <w:r>
        <w:rPr>
          <w:color w:val="231F20"/>
          <w:w w:val="105"/>
        </w:rPr>
        <w:t>reelected</w:t>
      </w:r>
      <w:r>
        <w:rPr>
          <w:color w:val="231F20"/>
          <w:spacing w:val="-6"/>
          <w:w w:val="105"/>
        </w:rPr>
        <w:t> </w:t>
      </w:r>
      <w:r>
        <w:rPr>
          <w:color w:val="231F20"/>
          <w:w w:val="105"/>
        </w:rPr>
        <w:t>as</w:t>
      </w:r>
      <w:r>
        <w:rPr>
          <w:color w:val="231F20"/>
          <w:spacing w:val="-6"/>
          <w:w w:val="105"/>
        </w:rPr>
        <w:t> </w:t>
      </w:r>
      <w:r>
        <w:rPr>
          <w:color w:val="231F20"/>
          <w:w w:val="105"/>
        </w:rPr>
        <w:t>a</w:t>
      </w:r>
      <w:r>
        <w:rPr>
          <w:color w:val="231F20"/>
          <w:spacing w:val="-6"/>
          <w:w w:val="105"/>
        </w:rPr>
        <w:t> </w:t>
      </w:r>
      <w:r>
        <w:rPr>
          <w:color w:val="231F20"/>
          <w:spacing w:val="-3"/>
          <w:w w:val="105"/>
        </w:rPr>
        <w:t>director,</w:t>
      </w:r>
      <w:r>
        <w:rPr>
          <w:color w:val="231F20"/>
          <w:spacing w:val="-5"/>
          <w:w w:val="105"/>
        </w:rPr>
        <w:t> </w:t>
      </w:r>
      <w:r>
        <w:rPr>
          <w:color w:val="231F20"/>
          <w:w w:val="105"/>
        </w:rPr>
        <w:t>to</w:t>
      </w:r>
      <w:r>
        <w:rPr>
          <w:color w:val="231F20"/>
          <w:spacing w:val="-6"/>
          <w:w w:val="105"/>
        </w:rPr>
        <w:t> </w:t>
      </w:r>
      <w:r>
        <w:rPr>
          <w:color w:val="231F20"/>
          <w:w w:val="105"/>
        </w:rPr>
        <w:t>serve</w:t>
      </w:r>
      <w:r>
        <w:rPr>
          <w:color w:val="231F20"/>
          <w:spacing w:val="-6"/>
          <w:w w:val="105"/>
        </w:rPr>
        <w:t> </w:t>
      </w:r>
      <w:r>
        <w:rPr>
          <w:color w:val="231F20"/>
          <w:w w:val="105"/>
        </w:rPr>
        <w:t>until</w:t>
      </w:r>
      <w:r>
        <w:rPr>
          <w:color w:val="231F20"/>
          <w:spacing w:val="-5"/>
          <w:w w:val="105"/>
        </w:rPr>
        <w:t> </w:t>
      </w:r>
      <w:r>
        <w:rPr>
          <w:color w:val="231F20"/>
          <w:w w:val="105"/>
        </w:rPr>
        <w:t>the</w:t>
      </w:r>
      <w:r>
        <w:rPr>
          <w:color w:val="231F20"/>
          <w:spacing w:val="-6"/>
          <w:w w:val="105"/>
        </w:rPr>
        <w:t> </w:t>
      </w:r>
      <w:r>
        <w:rPr>
          <w:color w:val="231F20"/>
          <w:w w:val="105"/>
        </w:rPr>
        <w:t>next</w:t>
      </w:r>
      <w:r>
        <w:rPr>
          <w:color w:val="231F20"/>
          <w:spacing w:val="-6"/>
          <w:w w:val="105"/>
        </w:rPr>
        <w:t> </w:t>
      </w:r>
      <w:r>
        <w:rPr>
          <w:color w:val="231F20"/>
          <w:spacing w:val="-3"/>
          <w:w w:val="105"/>
        </w:rPr>
        <w:t>annual</w:t>
      </w:r>
      <w:r>
        <w:rPr>
          <w:color w:val="231F20"/>
          <w:spacing w:val="-6"/>
          <w:w w:val="105"/>
        </w:rPr>
        <w:t> </w:t>
      </w:r>
      <w:r>
        <w:rPr>
          <w:color w:val="231F20"/>
          <w:w w:val="105"/>
        </w:rPr>
        <w:t>meeting of</w:t>
      </w:r>
      <w:r>
        <w:rPr>
          <w:color w:val="231F20"/>
          <w:spacing w:val="15"/>
          <w:w w:val="105"/>
        </w:rPr>
        <w:t> </w:t>
      </w:r>
      <w:r>
        <w:rPr>
          <w:color w:val="231F20"/>
          <w:w w:val="105"/>
        </w:rPr>
        <w:t>shareholders”;</w:t>
      </w:r>
    </w:p>
    <w:p>
      <w:pPr>
        <w:pStyle w:val="BodyText"/>
        <w:spacing w:line="249" w:lineRule="auto" w:before="160"/>
        <w:ind w:left="1090" w:right="1386" w:firstLine="399"/>
      </w:pPr>
      <w:r>
        <w:rPr>
          <w:color w:val="231F20"/>
          <w:w w:val="105"/>
        </w:rPr>
        <w:t>“2.d. </w:t>
      </w:r>
      <w:r>
        <w:rPr>
          <w:color w:val="231F20"/>
          <w:spacing w:val="-4"/>
          <w:w w:val="105"/>
        </w:rPr>
        <w:t>RESOLVED, </w:t>
      </w:r>
      <w:r>
        <w:rPr>
          <w:color w:val="231F20"/>
          <w:w w:val="105"/>
        </w:rPr>
        <w:t>that </w:t>
      </w:r>
      <w:r>
        <w:rPr>
          <w:color w:val="231F20"/>
          <w:spacing w:val="-5"/>
          <w:w w:val="105"/>
        </w:rPr>
        <w:t>Mr. </w:t>
      </w:r>
      <w:r>
        <w:rPr>
          <w:color w:val="231F20"/>
          <w:w w:val="105"/>
        </w:rPr>
        <w:t>Erez </w:t>
      </w:r>
      <w:r>
        <w:rPr>
          <w:color w:val="231F20"/>
          <w:spacing w:val="-3"/>
          <w:w w:val="105"/>
        </w:rPr>
        <w:t>Alroy </w:t>
      </w:r>
      <w:r>
        <w:rPr>
          <w:color w:val="231F20"/>
          <w:w w:val="105"/>
        </w:rPr>
        <w:t>be reelected as a </w:t>
      </w:r>
      <w:r>
        <w:rPr>
          <w:color w:val="231F20"/>
          <w:spacing w:val="-3"/>
          <w:w w:val="105"/>
        </w:rPr>
        <w:t>director, </w:t>
      </w:r>
      <w:r>
        <w:rPr>
          <w:color w:val="231F20"/>
          <w:w w:val="105"/>
        </w:rPr>
        <w:t>to serve until the next </w:t>
      </w:r>
      <w:r>
        <w:rPr>
          <w:color w:val="231F20"/>
          <w:spacing w:val="-3"/>
          <w:w w:val="105"/>
        </w:rPr>
        <w:t>annual </w:t>
      </w:r>
      <w:r>
        <w:rPr>
          <w:color w:val="231F20"/>
          <w:w w:val="105"/>
        </w:rPr>
        <w:t>meeting of</w:t>
      </w:r>
      <w:r>
        <w:rPr>
          <w:color w:val="231F20"/>
          <w:spacing w:val="15"/>
          <w:w w:val="105"/>
        </w:rPr>
        <w:t> </w:t>
      </w:r>
      <w:r>
        <w:rPr>
          <w:color w:val="231F20"/>
          <w:w w:val="105"/>
        </w:rPr>
        <w:t>shareholders”;</w:t>
      </w:r>
    </w:p>
    <w:p>
      <w:pPr>
        <w:pStyle w:val="BodyText"/>
        <w:spacing w:line="249" w:lineRule="auto" w:before="160"/>
        <w:ind w:left="1090" w:right="1761" w:firstLine="399"/>
      </w:pPr>
      <w:r>
        <w:rPr>
          <w:color w:val="231F20"/>
          <w:w w:val="105"/>
        </w:rPr>
        <w:t>“2.e. RESOLVED, that Prof. Amir Lerman be reelected as a director, to serve until the next annual meeting of shareholders”; and</w:t>
      </w:r>
    </w:p>
    <w:p>
      <w:pPr>
        <w:pStyle w:val="BodyText"/>
        <w:spacing w:line="249" w:lineRule="auto" w:before="161"/>
        <w:ind w:left="1090" w:right="1726" w:firstLine="399"/>
      </w:pPr>
      <w:r>
        <w:rPr>
          <w:color w:val="231F20"/>
          <w:w w:val="105"/>
        </w:rPr>
        <w:t>“2.f. RESOLVED, that Mr. Erez Nachtomy be reelected as a director, to serve until the next annual meeting of shareholders.”</w:t>
      </w:r>
    </w:p>
    <w:p>
      <w:pPr>
        <w:pStyle w:val="BodyText"/>
        <w:spacing w:before="9"/>
      </w:pPr>
    </w:p>
    <w:p>
      <w:pPr>
        <w:pStyle w:val="Heading2"/>
        <w:spacing w:before="1"/>
      </w:pPr>
      <w:r>
        <w:rPr>
          <w:color w:val="231F20"/>
        </w:rPr>
        <w:t>Vote Required</w:t>
      </w:r>
    </w:p>
    <w:p>
      <w:pPr>
        <w:pStyle w:val="BodyText"/>
        <w:spacing w:before="169"/>
        <w:ind w:left="1489"/>
      </w:pPr>
      <w:r>
        <w:rPr>
          <w:color w:val="231F20"/>
          <w:w w:val="105"/>
        </w:rPr>
        <w:t>The affirmative vote of an Ordinary Majority is required to adopt each of the resolutions.</w:t>
      </w:r>
    </w:p>
    <w:p>
      <w:pPr>
        <w:pStyle w:val="BodyText"/>
        <w:spacing w:before="7"/>
        <w:rPr>
          <w:sz w:val="21"/>
        </w:rPr>
      </w:pPr>
    </w:p>
    <w:p>
      <w:pPr>
        <w:pStyle w:val="Heading2"/>
      </w:pPr>
      <w:r>
        <w:rPr>
          <w:color w:val="231F20"/>
        </w:rPr>
        <w:t>Board Recommendation</w:t>
      </w:r>
    </w:p>
    <w:p>
      <w:pPr>
        <w:pStyle w:val="BodyText"/>
        <w:spacing w:line="249" w:lineRule="auto" w:before="169"/>
        <w:ind w:left="1090" w:right="1549" w:firstLine="399"/>
      </w:pPr>
      <w:r>
        <w:rPr>
          <w:color w:val="231F20"/>
          <w:w w:val="110"/>
        </w:rPr>
        <w:t>THE</w:t>
      </w:r>
      <w:r>
        <w:rPr>
          <w:color w:val="231F20"/>
          <w:spacing w:val="-13"/>
          <w:w w:val="110"/>
        </w:rPr>
        <w:t> </w:t>
      </w:r>
      <w:r>
        <w:rPr>
          <w:color w:val="231F20"/>
          <w:w w:val="110"/>
        </w:rPr>
        <w:t>BOARD</w:t>
      </w:r>
      <w:r>
        <w:rPr>
          <w:color w:val="231F20"/>
          <w:spacing w:val="-12"/>
          <w:w w:val="110"/>
        </w:rPr>
        <w:t> </w:t>
      </w:r>
      <w:r>
        <w:rPr>
          <w:color w:val="231F20"/>
          <w:w w:val="110"/>
        </w:rPr>
        <w:t>OF</w:t>
      </w:r>
      <w:r>
        <w:rPr>
          <w:color w:val="231F20"/>
          <w:spacing w:val="-13"/>
          <w:w w:val="110"/>
        </w:rPr>
        <w:t> </w:t>
      </w:r>
      <w:r>
        <w:rPr>
          <w:color w:val="231F20"/>
          <w:w w:val="110"/>
        </w:rPr>
        <w:t>DIRECTORS</w:t>
      </w:r>
      <w:r>
        <w:rPr>
          <w:color w:val="231F20"/>
          <w:spacing w:val="-12"/>
          <w:w w:val="110"/>
        </w:rPr>
        <w:t> </w:t>
      </w:r>
      <w:r>
        <w:rPr>
          <w:color w:val="231F20"/>
          <w:w w:val="110"/>
        </w:rPr>
        <w:t>RECOMMENDS</w:t>
      </w:r>
      <w:r>
        <w:rPr>
          <w:color w:val="231F20"/>
          <w:spacing w:val="-13"/>
          <w:w w:val="110"/>
        </w:rPr>
        <w:t> </w:t>
      </w:r>
      <w:r>
        <w:rPr>
          <w:color w:val="231F20"/>
          <w:w w:val="110"/>
        </w:rPr>
        <w:t>A</w:t>
      </w:r>
      <w:r>
        <w:rPr>
          <w:color w:val="231F20"/>
          <w:spacing w:val="-12"/>
          <w:w w:val="110"/>
        </w:rPr>
        <w:t> </w:t>
      </w:r>
      <w:r>
        <w:rPr>
          <w:color w:val="231F20"/>
          <w:spacing w:val="-4"/>
          <w:w w:val="110"/>
        </w:rPr>
        <w:t>VOTE</w:t>
      </w:r>
      <w:r>
        <w:rPr>
          <w:color w:val="231F20"/>
          <w:spacing w:val="-12"/>
          <w:w w:val="110"/>
        </w:rPr>
        <w:t> </w:t>
      </w:r>
      <w:r>
        <w:rPr>
          <w:color w:val="231F20"/>
          <w:w w:val="110"/>
        </w:rPr>
        <w:t>“</w:t>
      </w:r>
      <w:r>
        <w:rPr>
          <w:b/>
          <w:color w:val="231F20"/>
          <w:w w:val="110"/>
        </w:rPr>
        <w:t>FOR</w:t>
      </w:r>
      <w:r>
        <w:rPr>
          <w:color w:val="231F20"/>
          <w:w w:val="110"/>
        </w:rPr>
        <w:t>”</w:t>
      </w:r>
      <w:r>
        <w:rPr>
          <w:color w:val="231F20"/>
          <w:spacing w:val="-22"/>
          <w:w w:val="110"/>
        </w:rPr>
        <w:t> </w:t>
      </w:r>
      <w:r>
        <w:rPr>
          <w:color w:val="231F20"/>
          <w:w w:val="110"/>
        </w:rPr>
        <w:t>THE</w:t>
      </w:r>
      <w:r>
        <w:rPr>
          <w:color w:val="231F20"/>
          <w:spacing w:val="-13"/>
          <w:w w:val="110"/>
        </w:rPr>
        <w:t> </w:t>
      </w:r>
      <w:r>
        <w:rPr>
          <w:color w:val="231F20"/>
          <w:w w:val="110"/>
        </w:rPr>
        <w:t>ADOPTION</w:t>
      </w:r>
      <w:r>
        <w:rPr>
          <w:color w:val="231F20"/>
          <w:spacing w:val="-12"/>
          <w:w w:val="110"/>
        </w:rPr>
        <w:t> </w:t>
      </w:r>
      <w:r>
        <w:rPr>
          <w:color w:val="231F20"/>
          <w:w w:val="110"/>
        </w:rPr>
        <w:t>OF</w:t>
      </w:r>
      <w:r>
        <w:rPr>
          <w:color w:val="231F20"/>
          <w:spacing w:val="-13"/>
          <w:w w:val="110"/>
        </w:rPr>
        <w:t> </w:t>
      </w:r>
      <w:r>
        <w:rPr>
          <w:color w:val="231F20"/>
          <w:spacing w:val="-3"/>
          <w:w w:val="110"/>
        </w:rPr>
        <w:t>EACH </w:t>
      </w:r>
      <w:r>
        <w:rPr>
          <w:color w:val="231F20"/>
          <w:w w:val="110"/>
        </w:rPr>
        <w:t>OF THE FOREGOING</w:t>
      </w:r>
      <w:r>
        <w:rPr>
          <w:color w:val="231F20"/>
          <w:spacing w:val="-19"/>
          <w:w w:val="110"/>
        </w:rPr>
        <w:t> </w:t>
      </w:r>
      <w:r>
        <w:rPr>
          <w:color w:val="231F20"/>
          <w:w w:val="110"/>
        </w:rPr>
        <w:t>RESOLUTIONS.</w:t>
      </w:r>
    </w:p>
    <w:p>
      <w:pPr>
        <w:pStyle w:val="BodyText"/>
        <w:spacing w:before="10"/>
      </w:pPr>
    </w:p>
    <w:p>
      <w:pPr>
        <w:pStyle w:val="Heading2"/>
      </w:pPr>
      <w:r>
        <w:rPr>
          <w:color w:val="231F20"/>
        </w:rPr>
        <w:t>Continuing Directors</w:t>
      </w:r>
    </w:p>
    <w:p>
      <w:pPr>
        <w:pStyle w:val="BodyText"/>
        <w:spacing w:line="249" w:lineRule="auto" w:before="170"/>
        <w:ind w:left="1090" w:right="1322" w:firstLine="399"/>
      </w:pPr>
      <w:r>
        <w:rPr>
          <w:i/>
          <w:color w:val="231F20"/>
          <w:w w:val="105"/>
        </w:rPr>
        <w:t>Yehoshua (Shuky) Abramovich </w:t>
      </w:r>
      <w:r>
        <w:rPr>
          <w:color w:val="231F20"/>
          <w:w w:val="105"/>
        </w:rPr>
        <w:t>joined the Board of Directors of SHL as a non-executive Director/ Independent (external) Director in June 2017. Mr. Abramovich has held key positions in the Israeli capital market for over 25 years. He serves as the chairman of the board of IMed Infinity Medical, chairman of Atrade, member of the board of directors and chairman of the investment committee of I.D.I. Insurance Company, a member of the board of directors of each of the public companies Brimag Digital, Modiin Energy and GoTo, and as a director in other high-tech, real estate and energy companies. Mr. Abramovich was the CEO of Clal Finance, one of Israel’s largest financial institutions, which provided a broad array</w:t>
      </w:r>
    </w:p>
    <w:p>
      <w:pPr>
        <w:pStyle w:val="BodyText"/>
        <w:spacing w:line="249" w:lineRule="auto" w:before="2"/>
        <w:ind w:left="1090" w:right="1379"/>
      </w:pPr>
      <w:r>
        <w:rPr>
          <w:color w:val="231F20"/>
          <w:w w:val="105"/>
        </w:rPr>
        <w:t>of</w:t>
      </w:r>
      <w:r>
        <w:rPr>
          <w:color w:val="231F20"/>
          <w:spacing w:val="8"/>
          <w:w w:val="105"/>
        </w:rPr>
        <w:t> </w:t>
      </w:r>
      <w:r>
        <w:rPr>
          <w:color w:val="231F20"/>
          <w:w w:val="105"/>
        </w:rPr>
        <w:t>financial</w:t>
      </w:r>
      <w:r>
        <w:rPr>
          <w:color w:val="231F20"/>
          <w:spacing w:val="-12"/>
          <w:w w:val="105"/>
        </w:rPr>
        <w:t> </w:t>
      </w:r>
      <w:r>
        <w:rPr>
          <w:color w:val="231F20"/>
          <w:w w:val="105"/>
        </w:rPr>
        <w:t>services</w:t>
      </w:r>
      <w:r>
        <w:rPr>
          <w:color w:val="231F20"/>
          <w:spacing w:val="-11"/>
          <w:w w:val="105"/>
        </w:rPr>
        <w:t> </w:t>
      </w:r>
      <w:r>
        <w:rPr>
          <w:color w:val="231F20"/>
          <w:w w:val="105"/>
        </w:rPr>
        <w:t>ranging</w:t>
      </w:r>
      <w:r>
        <w:rPr>
          <w:color w:val="231F20"/>
          <w:spacing w:val="-12"/>
          <w:w w:val="105"/>
        </w:rPr>
        <w:t> </w:t>
      </w:r>
      <w:r>
        <w:rPr>
          <w:color w:val="231F20"/>
          <w:w w:val="105"/>
        </w:rPr>
        <w:t>from</w:t>
      </w:r>
      <w:r>
        <w:rPr>
          <w:color w:val="231F20"/>
          <w:spacing w:val="-11"/>
          <w:w w:val="105"/>
        </w:rPr>
        <w:t> </w:t>
      </w:r>
      <w:r>
        <w:rPr>
          <w:color w:val="231F20"/>
          <w:w w:val="105"/>
        </w:rPr>
        <w:t>portfolio</w:t>
      </w:r>
      <w:r>
        <w:rPr>
          <w:color w:val="231F20"/>
          <w:spacing w:val="-12"/>
          <w:w w:val="105"/>
        </w:rPr>
        <w:t> </w:t>
      </w:r>
      <w:r>
        <w:rPr>
          <w:color w:val="231F20"/>
          <w:w w:val="105"/>
        </w:rPr>
        <w:t>management</w:t>
      </w:r>
      <w:r>
        <w:rPr>
          <w:color w:val="231F20"/>
          <w:spacing w:val="-11"/>
          <w:w w:val="105"/>
        </w:rPr>
        <w:t> </w:t>
      </w:r>
      <w:r>
        <w:rPr>
          <w:color w:val="231F20"/>
          <w:w w:val="105"/>
        </w:rPr>
        <w:t>to</w:t>
      </w:r>
      <w:r>
        <w:rPr>
          <w:color w:val="231F20"/>
          <w:spacing w:val="-12"/>
          <w:w w:val="105"/>
        </w:rPr>
        <w:t> </w:t>
      </w:r>
      <w:r>
        <w:rPr>
          <w:color w:val="231F20"/>
          <w:spacing w:val="-3"/>
          <w:w w:val="105"/>
        </w:rPr>
        <w:t>brokerage</w:t>
      </w:r>
      <w:r>
        <w:rPr>
          <w:color w:val="231F20"/>
          <w:spacing w:val="-12"/>
          <w:w w:val="105"/>
        </w:rPr>
        <w:t> </w:t>
      </w:r>
      <w:r>
        <w:rPr>
          <w:color w:val="231F20"/>
          <w:w w:val="105"/>
        </w:rPr>
        <w:t>and</w:t>
      </w:r>
      <w:r>
        <w:rPr>
          <w:color w:val="231F20"/>
          <w:spacing w:val="-11"/>
          <w:w w:val="105"/>
        </w:rPr>
        <w:t> </w:t>
      </w:r>
      <w:r>
        <w:rPr>
          <w:color w:val="231F20"/>
          <w:w w:val="105"/>
        </w:rPr>
        <w:t>underwriting</w:t>
      </w:r>
      <w:r>
        <w:rPr>
          <w:color w:val="231F20"/>
          <w:spacing w:val="-12"/>
          <w:w w:val="105"/>
        </w:rPr>
        <w:t> </w:t>
      </w:r>
      <w:r>
        <w:rPr>
          <w:color w:val="231F20"/>
          <w:w w:val="105"/>
        </w:rPr>
        <w:t>services.</w:t>
      </w:r>
      <w:r>
        <w:rPr>
          <w:color w:val="231F20"/>
          <w:spacing w:val="-11"/>
          <w:w w:val="105"/>
        </w:rPr>
        <w:t> </w:t>
      </w:r>
      <w:r>
        <w:rPr>
          <w:color w:val="231F20"/>
          <w:spacing w:val="-3"/>
          <w:w w:val="105"/>
        </w:rPr>
        <w:t>Clal</w:t>
      </w:r>
      <w:r>
        <w:rPr>
          <w:color w:val="231F20"/>
          <w:spacing w:val="-12"/>
          <w:w w:val="105"/>
        </w:rPr>
        <w:t> </w:t>
      </w:r>
      <w:r>
        <w:rPr>
          <w:color w:val="231F20"/>
          <w:w w:val="105"/>
        </w:rPr>
        <w:t>Finance owned and managed </w:t>
      </w:r>
      <w:r>
        <w:rPr>
          <w:color w:val="231F20"/>
          <w:spacing w:val="-3"/>
          <w:w w:val="105"/>
        </w:rPr>
        <w:t>mutual </w:t>
      </w:r>
      <w:r>
        <w:rPr>
          <w:color w:val="231F20"/>
          <w:w w:val="105"/>
        </w:rPr>
        <w:t>funds, an in-house hedge fund, and offered individually tailored structured products to clients. Prior to that, he served in various positions in </w:t>
      </w:r>
      <w:r>
        <w:rPr>
          <w:color w:val="231F20"/>
          <w:spacing w:val="-3"/>
          <w:w w:val="105"/>
        </w:rPr>
        <w:t>Clal Group, </w:t>
      </w:r>
      <w:r>
        <w:rPr>
          <w:color w:val="231F20"/>
          <w:w w:val="105"/>
        </w:rPr>
        <w:t>including Deputy CEO of </w:t>
      </w:r>
      <w:r>
        <w:rPr>
          <w:color w:val="231F20"/>
          <w:spacing w:val="-3"/>
          <w:w w:val="105"/>
        </w:rPr>
        <w:t>Clal </w:t>
      </w:r>
      <w:r>
        <w:rPr>
          <w:color w:val="231F20"/>
          <w:w w:val="105"/>
        </w:rPr>
        <w:t>Insurance Enterprises Holdings. He served on the board of directors of the </w:t>
      </w:r>
      <w:r>
        <w:rPr>
          <w:color w:val="231F20"/>
          <w:spacing w:val="-6"/>
          <w:w w:val="105"/>
        </w:rPr>
        <w:t>Tel Aviv</w:t>
      </w:r>
      <w:r>
        <w:rPr>
          <w:color w:val="231F20"/>
          <w:spacing w:val="4"/>
          <w:w w:val="105"/>
        </w:rPr>
        <w:t> </w:t>
      </w:r>
      <w:r>
        <w:rPr>
          <w:color w:val="231F20"/>
          <w:w w:val="105"/>
        </w:rPr>
        <w:t>Stock Exchange until</w:t>
      </w:r>
    </w:p>
    <w:p>
      <w:pPr>
        <w:spacing w:after="0" w:line="249" w:lineRule="auto"/>
        <w:sectPr>
          <w:pgSz w:w="11880" w:h="15480"/>
          <w:pgMar w:header="0" w:footer="664" w:top="940" w:bottom="860" w:left="300" w:right="0"/>
        </w:sectPr>
      </w:pPr>
    </w:p>
    <w:p>
      <w:pPr>
        <w:pStyle w:val="BodyText"/>
        <w:spacing w:line="259" w:lineRule="auto" w:before="87"/>
        <w:ind w:left="1090" w:right="1303"/>
      </w:pPr>
      <w:r>
        <w:rPr>
          <w:color w:val="231F20"/>
          <w:w w:val="105"/>
        </w:rPr>
        <w:t>September 2008, and he is a member of the board of trustees of the Academic </w:t>
      </w:r>
      <w:r>
        <w:rPr>
          <w:color w:val="231F20"/>
          <w:spacing w:val="-4"/>
          <w:w w:val="105"/>
        </w:rPr>
        <w:t>Track </w:t>
      </w:r>
      <w:r>
        <w:rPr>
          <w:color w:val="231F20"/>
          <w:w w:val="105"/>
        </w:rPr>
        <w:t>of the College of Management. He has a </w:t>
      </w:r>
      <w:r>
        <w:rPr>
          <w:color w:val="231F20"/>
          <w:spacing w:val="-3"/>
          <w:w w:val="105"/>
        </w:rPr>
        <w:t>B.A. </w:t>
      </w:r>
      <w:r>
        <w:rPr>
          <w:color w:val="231F20"/>
          <w:w w:val="105"/>
        </w:rPr>
        <w:t>in Economics &amp; Business Management and an M.B.A. from </w:t>
      </w:r>
      <w:r>
        <w:rPr>
          <w:color w:val="231F20"/>
          <w:spacing w:val="-6"/>
          <w:w w:val="105"/>
        </w:rPr>
        <w:t>Tel Aviv </w:t>
      </w:r>
      <w:r>
        <w:rPr>
          <w:color w:val="231F20"/>
          <w:spacing w:val="-5"/>
          <w:w w:val="105"/>
        </w:rPr>
        <w:t>University.</w:t>
      </w:r>
    </w:p>
    <w:p>
      <w:pPr>
        <w:pStyle w:val="BodyText"/>
        <w:spacing w:line="259" w:lineRule="auto" w:before="162"/>
        <w:ind w:left="1090" w:right="1387" w:firstLine="399"/>
      </w:pPr>
      <w:r>
        <w:rPr>
          <w:i/>
          <w:color w:val="231F20"/>
          <w:w w:val="105"/>
        </w:rPr>
        <w:t>Ms. </w:t>
      </w:r>
      <w:r>
        <w:rPr>
          <w:i/>
          <w:color w:val="231F20"/>
          <w:spacing w:val="-3"/>
          <w:w w:val="105"/>
        </w:rPr>
        <w:t>Dvora </w:t>
      </w:r>
      <w:r>
        <w:rPr>
          <w:i/>
          <w:color w:val="231F20"/>
          <w:w w:val="105"/>
        </w:rPr>
        <w:t>Kimhi </w:t>
      </w:r>
      <w:r>
        <w:rPr>
          <w:color w:val="231F20"/>
          <w:w w:val="105"/>
        </w:rPr>
        <w:t>joined the Board of Directors of SHL as a non-executive Director/ Independent (external)</w:t>
      </w:r>
      <w:r>
        <w:rPr>
          <w:color w:val="231F20"/>
          <w:spacing w:val="-4"/>
          <w:w w:val="105"/>
        </w:rPr>
        <w:t> </w:t>
      </w:r>
      <w:r>
        <w:rPr>
          <w:color w:val="231F20"/>
          <w:w w:val="105"/>
        </w:rPr>
        <w:t>Director</w:t>
      </w:r>
      <w:r>
        <w:rPr>
          <w:color w:val="231F20"/>
          <w:spacing w:val="-4"/>
          <w:w w:val="105"/>
        </w:rPr>
        <w:t> </w:t>
      </w:r>
      <w:r>
        <w:rPr>
          <w:color w:val="231F20"/>
          <w:w w:val="105"/>
        </w:rPr>
        <w:t>in</w:t>
      </w:r>
      <w:r>
        <w:rPr>
          <w:color w:val="231F20"/>
          <w:spacing w:val="-3"/>
          <w:w w:val="105"/>
        </w:rPr>
        <w:t> </w:t>
      </w:r>
      <w:r>
        <w:rPr>
          <w:color w:val="231F20"/>
          <w:w w:val="105"/>
        </w:rPr>
        <w:t>December</w:t>
      </w:r>
      <w:r>
        <w:rPr>
          <w:color w:val="231F20"/>
          <w:spacing w:val="-4"/>
          <w:w w:val="105"/>
        </w:rPr>
        <w:t> </w:t>
      </w:r>
      <w:r>
        <w:rPr>
          <w:color w:val="231F20"/>
          <w:w w:val="105"/>
        </w:rPr>
        <w:t>2018.</w:t>
      </w:r>
      <w:r>
        <w:rPr>
          <w:color w:val="231F20"/>
          <w:spacing w:val="-4"/>
          <w:w w:val="105"/>
        </w:rPr>
        <w:t> </w:t>
      </w:r>
      <w:r>
        <w:rPr>
          <w:color w:val="231F20"/>
          <w:w w:val="105"/>
        </w:rPr>
        <w:t>She</w:t>
      </w:r>
      <w:r>
        <w:rPr>
          <w:color w:val="231F20"/>
          <w:spacing w:val="-3"/>
          <w:w w:val="105"/>
        </w:rPr>
        <w:t> also</w:t>
      </w:r>
      <w:r>
        <w:rPr>
          <w:color w:val="231F20"/>
          <w:spacing w:val="-4"/>
          <w:w w:val="105"/>
        </w:rPr>
        <w:t> </w:t>
      </w:r>
      <w:r>
        <w:rPr>
          <w:color w:val="231F20"/>
          <w:w w:val="105"/>
        </w:rPr>
        <w:t>served</w:t>
      </w:r>
      <w:r>
        <w:rPr>
          <w:color w:val="231F20"/>
          <w:spacing w:val="-4"/>
          <w:w w:val="105"/>
        </w:rPr>
        <w:t> </w:t>
      </w:r>
      <w:r>
        <w:rPr>
          <w:color w:val="231F20"/>
          <w:w w:val="105"/>
        </w:rPr>
        <w:t>as</w:t>
      </w:r>
      <w:r>
        <w:rPr>
          <w:color w:val="231F20"/>
          <w:spacing w:val="-3"/>
          <w:w w:val="105"/>
        </w:rPr>
        <w:t> </w:t>
      </w:r>
      <w:r>
        <w:rPr>
          <w:color w:val="231F20"/>
          <w:w w:val="105"/>
        </w:rPr>
        <w:t>a</w:t>
      </w:r>
      <w:r>
        <w:rPr>
          <w:color w:val="231F20"/>
          <w:spacing w:val="-4"/>
          <w:w w:val="105"/>
        </w:rPr>
        <w:t> </w:t>
      </w:r>
      <w:r>
        <w:rPr>
          <w:color w:val="231F20"/>
          <w:w w:val="105"/>
        </w:rPr>
        <w:t>non-executive</w:t>
      </w:r>
      <w:r>
        <w:rPr>
          <w:color w:val="231F20"/>
          <w:spacing w:val="-4"/>
          <w:w w:val="105"/>
        </w:rPr>
        <w:t> </w:t>
      </w:r>
      <w:r>
        <w:rPr>
          <w:color w:val="231F20"/>
          <w:w w:val="105"/>
        </w:rPr>
        <w:t>Independent</w:t>
      </w:r>
      <w:r>
        <w:rPr>
          <w:color w:val="231F20"/>
          <w:spacing w:val="-3"/>
          <w:w w:val="105"/>
        </w:rPr>
        <w:t> </w:t>
      </w:r>
      <w:r>
        <w:rPr>
          <w:color w:val="231F20"/>
          <w:w w:val="105"/>
        </w:rPr>
        <w:t>(external)</w:t>
      </w:r>
      <w:r>
        <w:rPr>
          <w:color w:val="231F20"/>
          <w:spacing w:val="-4"/>
          <w:w w:val="105"/>
        </w:rPr>
        <w:t> </w:t>
      </w:r>
      <w:r>
        <w:rPr>
          <w:color w:val="231F20"/>
          <w:w w:val="105"/>
        </w:rPr>
        <w:t>Director</w:t>
      </w:r>
      <w:r>
        <w:rPr>
          <w:color w:val="231F20"/>
          <w:spacing w:val="-4"/>
          <w:w w:val="105"/>
        </w:rPr>
        <w:t> </w:t>
      </w:r>
      <w:r>
        <w:rPr>
          <w:color w:val="231F20"/>
          <w:w w:val="105"/>
        </w:rPr>
        <w:t>in the Company from 2010 to 2014 and as a non-executive director from 2001 to 2007. Since 2002 and as of the date hereof, </w:t>
      </w:r>
      <w:r>
        <w:rPr>
          <w:color w:val="231F20"/>
          <w:spacing w:val="-5"/>
          <w:w w:val="105"/>
        </w:rPr>
        <w:t>Ms. </w:t>
      </w:r>
      <w:r>
        <w:rPr>
          <w:color w:val="231F20"/>
          <w:w w:val="105"/>
        </w:rPr>
        <w:t>Kimhi serves as Vice President </w:t>
      </w:r>
      <w:r>
        <w:rPr>
          <w:color w:val="231F20"/>
          <w:spacing w:val="-3"/>
          <w:w w:val="105"/>
        </w:rPr>
        <w:t>for </w:t>
      </w:r>
      <w:r>
        <w:rPr>
          <w:color w:val="231F20"/>
          <w:w w:val="105"/>
        </w:rPr>
        <w:t>regulatory and legal affairs with Channel 10. Prior</w:t>
      </w:r>
      <w:r>
        <w:rPr>
          <w:color w:val="231F20"/>
          <w:spacing w:val="-23"/>
          <w:w w:val="105"/>
        </w:rPr>
        <w:t> </w:t>
      </w:r>
      <w:r>
        <w:rPr>
          <w:color w:val="231F20"/>
          <w:spacing w:val="-6"/>
          <w:w w:val="105"/>
        </w:rPr>
        <w:t>to </w:t>
      </w:r>
      <w:r>
        <w:rPr>
          <w:color w:val="231F20"/>
          <w:w w:val="105"/>
        </w:rPr>
        <w:t>this, </w:t>
      </w:r>
      <w:r>
        <w:rPr>
          <w:color w:val="231F20"/>
          <w:spacing w:val="-5"/>
          <w:w w:val="105"/>
        </w:rPr>
        <w:t>Ms. </w:t>
      </w:r>
      <w:r>
        <w:rPr>
          <w:color w:val="231F20"/>
          <w:w w:val="105"/>
        </w:rPr>
        <w:t>Kimhi served as Chief Legal Advisor to Ananey Communications Ltd., Noga Communications and the Israeli Educational Television. </w:t>
      </w:r>
      <w:r>
        <w:rPr>
          <w:color w:val="231F20"/>
          <w:spacing w:val="-5"/>
          <w:w w:val="105"/>
        </w:rPr>
        <w:t>Ms. </w:t>
      </w:r>
      <w:r>
        <w:rPr>
          <w:color w:val="231F20"/>
          <w:w w:val="105"/>
        </w:rPr>
        <w:t>Kimhi served as independent director on the board of directors of Ananey communications from 2007 until 2012, and </w:t>
      </w:r>
      <w:r>
        <w:rPr>
          <w:color w:val="231F20"/>
          <w:spacing w:val="-3"/>
          <w:w w:val="105"/>
        </w:rPr>
        <w:t>also </w:t>
      </w:r>
      <w:r>
        <w:rPr>
          <w:color w:val="231F20"/>
          <w:w w:val="105"/>
        </w:rPr>
        <w:t>serves on the board of directors of </w:t>
      </w:r>
      <w:r>
        <w:rPr>
          <w:color w:val="231F20"/>
          <w:spacing w:val="-5"/>
          <w:w w:val="105"/>
        </w:rPr>
        <w:t>Kol </w:t>
      </w:r>
      <w:r>
        <w:rPr>
          <w:color w:val="231F20"/>
          <w:spacing w:val="-2"/>
          <w:w w:val="105"/>
        </w:rPr>
        <w:t>Hayyam </w:t>
      </w:r>
      <w:r>
        <w:rPr>
          <w:color w:val="231F20"/>
          <w:w w:val="105"/>
        </w:rPr>
        <w:t>Hadrom Ltd., an Israel radio station. </w:t>
      </w:r>
      <w:r>
        <w:rPr>
          <w:color w:val="231F20"/>
          <w:spacing w:val="-5"/>
          <w:w w:val="105"/>
        </w:rPr>
        <w:t>Ms. </w:t>
      </w:r>
      <w:r>
        <w:rPr>
          <w:color w:val="231F20"/>
          <w:w w:val="105"/>
        </w:rPr>
        <w:t>Kimhi is a member of  the Israeli </w:t>
      </w:r>
      <w:r>
        <w:rPr>
          <w:color w:val="231F20"/>
          <w:spacing w:val="-5"/>
          <w:w w:val="105"/>
        </w:rPr>
        <w:t>Bar, </w:t>
      </w:r>
      <w:r>
        <w:rPr>
          <w:color w:val="231F20"/>
          <w:w w:val="105"/>
        </w:rPr>
        <w:t>holds an LL.B. from </w:t>
      </w:r>
      <w:r>
        <w:rPr>
          <w:color w:val="231F20"/>
          <w:spacing w:val="-6"/>
          <w:w w:val="105"/>
        </w:rPr>
        <w:t>Tel Aviv </w:t>
      </w:r>
      <w:r>
        <w:rPr>
          <w:color w:val="231F20"/>
          <w:w w:val="105"/>
        </w:rPr>
        <w:t>University and has specialized in contract </w:t>
      </w:r>
      <w:r>
        <w:rPr>
          <w:color w:val="231F20"/>
          <w:spacing w:val="-5"/>
          <w:w w:val="105"/>
        </w:rPr>
        <w:t>law </w:t>
      </w:r>
      <w:r>
        <w:rPr>
          <w:color w:val="231F20"/>
          <w:w w:val="105"/>
        </w:rPr>
        <w:t>and communication</w:t>
      </w:r>
      <w:r>
        <w:rPr>
          <w:color w:val="231F20"/>
          <w:spacing w:val="-17"/>
          <w:w w:val="105"/>
        </w:rPr>
        <w:t> </w:t>
      </w:r>
      <w:r>
        <w:rPr>
          <w:color w:val="231F20"/>
          <w:w w:val="105"/>
        </w:rPr>
        <w:t>regulation.</w:t>
      </w:r>
    </w:p>
    <w:p>
      <w:pPr>
        <w:pStyle w:val="BodyText"/>
        <w:spacing w:before="8"/>
      </w:pPr>
    </w:p>
    <w:p>
      <w:pPr>
        <w:spacing w:before="1"/>
        <w:ind w:left="1720" w:right="2017" w:firstLine="0"/>
        <w:jc w:val="center"/>
        <w:rPr>
          <w:b/>
          <w:sz w:val="20"/>
        </w:rPr>
      </w:pPr>
      <w:r>
        <w:rPr>
          <w:b/>
          <w:color w:val="231F20"/>
          <w:sz w:val="20"/>
          <w:u w:val="single" w:color="231F20"/>
        </w:rPr>
        <w:t>PROPOSAL 3</w:t>
      </w:r>
    </w:p>
    <w:p>
      <w:pPr>
        <w:pStyle w:val="BodyText"/>
        <w:spacing w:before="7"/>
        <w:rPr>
          <w:b/>
          <w:sz w:val="21"/>
        </w:rPr>
      </w:pPr>
    </w:p>
    <w:p>
      <w:pPr>
        <w:spacing w:before="0"/>
        <w:ind w:left="1721" w:right="2017" w:firstLine="0"/>
        <w:jc w:val="center"/>
        <w:rPr>
          <w:b/>
          <w:sz w:val="20"/>
        </w:rPr>
      </w:pPr>
      <w:r>
        <w:rPr>
          <w:b/>
          <w:color w:val="231F20"/>
          <w:sz w:val="20"/>
        </w:rPr>
        <w:t>ELECTION OF IDO NOUBERGER AS A DIRECTOR</w:t>
      </w:r>
    </w:p>
    <w:p>
      <w:pPr>
        <w:pStyle w:val="BodyText"/>
        <w:spacing w:before="7"/>
        <w:rPr>
          <w:b/>
          <w:sz w:val="12"/>
        </w:rPr>
      </w:pPr>
    </w:p>
    <w:p>
      <w:pPr>
        <w:pStyle w:val="Heading2"/>
        <w:spacing w:before="104"/>
      </w:pPr>
      <w:r>
        <w:rPr>
          <w:color w:val="231F20"/>
        </w:rPr>
        <w:t>Background</w:t>
      </w:r>
    </w:p>
    <w:p>
      <w:pPr>
        <w:pStyle w:val="BodyText"/>
        <w:spacing w:line="259" w:lineRule="auto" w:before="169"/>
        <w:ind w:left="1090" w:right="1390" w:firstLine="399"/>
      </w:pPr>
      <w:r>
        <w:rPr>
          <w:color w:val="231F20"/>
          <w:w w:val="105"/>
        </w:rPr>
        <w:t>On</w:t>
      </w:r>
      <w:r>
        <w:rPr>
          <w:color w:val="231F20"/>
          <w:spacing w:val="-6"/>
          <w:w w:val="105"/>
        </w:rPr>
        <w:t> </w:t>
      </w:r>
      <w:r>
        <w:rPr>
          <w:color w:val="231F20"/>
          <w:w w:val="105"/>
        </w:rPr>
        <w:t>December</w:t>
      </w:r>
      <w:r>
        <w:rPr>
          <w:color w:val="231F20"/>
          <w:spacing w:val="-5"/>
          <w:w w:val="105"/>
        </w:rPr>
        <w:t> </w:t>
      </w:r>
      <w:r>
        <w:rPr>
          <w:color w:val="231F20"/>
          <w:w w:val="105"/>
        </w:rPr>
        <w:t>14,</w:t>
      </w:r>
      <w:r>
        <w:rPr>
          <w:color w:val="231F20"/>
          <w:spacing w:val="-6"/>
          <w:w w:val="105"/>
        </w:rPr>
        <w:t> </w:t>
      </w:r>
      <w:r>
        <w:rPr>
          <w:color w:val="231F20"/>
          <w:w w:val="105"/>
        </w:rPr>
        <w:t>2023,</w:t>
      </w:r>
      <w:r>
        <w:rPr>
          <w:color w:val="231F20"/>
          <w:spacing w:val="-5"/>
          <w:w w:val="105"/>
        </w:rPr>
        <w:t> </w:t>
      </w:r>
      <w:r>
        <w:rPr>
          <w:color w:val="231F20"/>
          <w:w w:val="105"/>
        </w:rPr>
        <w:t>we</w:t>
      </w:r>
      <w:r>
        <w:rPr>
          <w:color w:val="231F20"/>
          <w:spacing w:val="-6"/>
          <w:w w:val="105"/>
        </w:rPr>
        <w:t> </w:t>
      </w:r>
      <w:r>
        <w:rPr>
          <w:color w:val="231F20"/>
          <w:w w:val="105"/>
        </w:rPr>
        <w:t>received</w:t>
      </w:r>
      <w:r>
        <w:rPr>
          <w:color w:val="231F20"/>
          <w:spacing w:val="-5"/>
          <w:w w:val="105"/>
        </w:rPr>
        <w:t> </w:t>
      </w:r>
      <w:r>
        <w:rPr>
          <w:color w:val="231F20"/>
          <w:w w:val="105"/>
        </w:rPr>
        <w:t>a</w:t>
      </w:r>
      <w:r>
        <w:rPr>
          <w:color w:val="231F20"/>
          <w:spacing w:val="-6"/>
          <w:w w:val="105"/>
        </w:rPr>
        <w:t> </w:t>
      </w:r>
      <w:r>
        <w:rPr>
          <w:color w:val="231F20"/>
          <w:w w:val="105"/>
        </w:rPr>
        <w:t>letter</w:t>
      </w:r>
      <w:r>
        <w:rPr>
          <w:color w:val="231F20"/>
          <w:spacing w:val="-5"/>
          <w:w w:val="105"/>
        </w:rPr>
        <w:t> </w:t>
      </w:r>
      <w:r>
        <w:rPr>
          <w:color w:val="231F20"/>
          <w:w w:val="105"/>
        </w:rPr>
        <w:t>from</w:t>
      </w:r>
      <w:r>
        <w:rPr>
          <w:color w:val="231F20"/>
          <w:spacing w:val="-6"/>
          <w:w w:val="105"/>
        </w:rPr>
        <w:t> </w:t>
      </w:r>
      <w:r>
        <w:rPr>
          <w:color w:val="231F20"/>
          <w:spacing w:val="-5"/>
          <w:w w:val="105"/>
        </w:rPr>
        <w:t>Value </w:t>
      </w:r>
      <w:r>
        <w:rPr>
          <w:color w:val="231F20"/>
          <w:w w:val="105"/>
        </w:rPr>
        <w:t>Base</w:t>
      </w:r>
      <w:r>
        <w:rPr>
          <w:color w:val="231F20"/>
          <w:spacing w:val="-6"/>
          <w:w w:val="105"/>
        </w:rPr>
        <w:t> </w:t>
      </w:r>
      <w:r>
        <w:rPr>
          <w:color w:val="231F20"/>
          <w:w w:val="105"/>
        </w:rPr>
        <w:t>Ltd.,</w:t>
      </w:r>
      <w:r>
        <w:rPr>
          <w:color w:val="231F20"/>
          <w:spacing w:val="-5"/>
          <w:w w:val="105"/>
        </w:rPr>
        <w:t> </w:t>
      </w:r>
      <w:r>
        <w:rPr>
          <w:color w:val="231F20"/>
          <w:w w:val="105"/>
        </w:rPr>
        <w:t>a</w:t>
      </w:r>
      <w:r>
        <w:rPr>
          <w:color w:val="231F20"/>
          <w:spacing w:val="-6"/>
          <w:w w:val="105"/>
        </w:rPr>
        <w:t> </w:t>
      </w:r>
      <w:r>
        <w:rPr>
          <w:color w:val="231F20"/>
          <w:w w:val="105"/>
        </w:rPr>
        <w:t>private</w:t>
      </w:r>
      <w:r>
        <w:rPr>
          <w:color w:val="231F20"/>
          <w:spacing w:val="-5"/>
          <w:w w:val="105"/>
        </w:rPr>
        <w:t> </w:t>
      </w:r>
      <w:r>
        <w:rPr>
          <w:color w:val="231F20"/>
          <w:w w:val="105"/>
        </w:rPr>
        <w:t>investment</w:t>
      </w:r>
      <w:r>
        <w:rPr>
          <w:color w:val="231F20"/>
          <w:spacing w:val="-6"/>
          <w:w w:val="105"/>
        </w:rPr>
        <w:t> </w:t>
      </w:r>
      <w:r>
        <w:rPr>
          <w:color w:val="231F20"/>
          <w:w w:val="105"/>
        </w:rPr>
        <w:t>group</w:t>
      </w:r>
      <w:r>
        <w:rPr>
          <w:color w:val="231F20"/>
          <w:spacing w:val="-5"/>
          <w:w w:val="105"/>
        </w:rPr>
        <w:t> </w:t>
      </w:r>
      <w:r>
        <w:rPr>
          <w:color w:val="231F20"/>
          <w:w w:val="105"/>
        </w:rPr>
        <w:t>located</w:t>
      </w:r>
      <w:r>
        <w:rPr>
          <w:color w:val="231F20"/>
          <w:spacing w:val="-6"/>
          <w:w w:val="105"/>
        </w:rPr>
        <w:t> </w:t>
      </w:r>
      <w:r>
        <w:rPr>
          <w:color w:val="231F20"/>
          <w:w w:val="105"/>
        </w:rPr>
        <w:t>in Israel </w:t>
      </w:r>
      <w:r>
        <w:rPr>
          <w:color w:val="231F20"/>
          <w:spacing w:val="-3"/>
          <w:w w:val="105"/>
        </w:rPr>
        <w:t>(“</w:t>
      </w:r>
      <w:r>
        <w:rPr>
          <w:b/>
          <w:color w:val="231F20"/>
          <w:spacing w:val="-3"/>
          <w:w w:val="105"/>
        </w:rPr>
        <w:t>Value </w:t>
      </w:r>
      <w:r>
        <w:rPr>
          <w:b/>
          <w:color w:val="231F20"/>
          <w:w w:val="105"/>
        </w:rPr>
        <w:t>Base</w:t>
      </w:r>
      <w:r>
        <w:rPr>
          <w:color w:val="231F20"/>
          <w:w w:val="105"/>
        </w:rPr>
        <w:t>”), which together with its subsidiaries and its controlling shareholders Ido Nouberger and Victor Shamrich currently holds </w:t>
      </w:r>
      <w:r>
        <w:rPr>
          <w:color w:val="231F20"/>
          <w:spacing w:val="-3"/>
          <w:w w:val="105"/>
        </w:rPr>
        <w:t>approximately </w:t>
      </w:r>
      <w:r>
        <w:rPr>
          <w:color w:val="231F20"/>
          <w:w w:val="105"/>
        </w:rPr>
        <w:t>8.6% of our issued and outstanding ordinary shares (as described </w:t>
      </w:r>
      <w:r>
        <w:rPr>
          <w:color w:val="231F20"/>
          <w:spacing w:val="-4"/>
          <w:w w:val="105"/>
        </w:rPr>
        <w:t>above </w:t>
      </w:r>
      <w:r>
        <w:rPr>
          <w:color w:val="231F20"/>
          <w:w w:val="105"/>
        </w:rPr>
        <w:t>under “Security Ownership of Certain Beneficial Owners and Management”). In such </w:t>
      </w:r>
      <w:r>
        <w:rPr>
          <w:color w:val="231F20"/>
          <w:spacing w:val="-3"/>
          <w:w w:val="105"/>
        </w:rPr>
        <w:t>letter, </w:t>
      </w:r>
      <w:r>
        <w:rPr>
          <w:color w:val="231F20"/>
          <w:spacing w:val="-5"/>
          <w:w w:val="105"/>
        </w:rPr>
        <w:t>Value </w:t>
      </w:r>
      <w:r>
        <w:rPr>
          <w:color w:val="231F20"/>
          <w:w w:val="105"/>
        </w:rPr>
        <w:t>Base requested that we nominate Ido </w:t>
      </w:r>
      <w:r>
        <w:rPr>
          <w:color w:val="231F20"/>
          <w:spacing w:val="-3"/>
          <w:w w:val="105"/>
        </w:rPr>
        <w:t>Nouberger, </w:t>
      </w:r>
      <w:r>
        <w:rPr>
          <w:color w:val="231F20"/>
          <w:w w:val="105"/>
        </w:rPr>
        <w:t>the CEO of </w:t>
      </w:r>
      <w:r>
        <w:rPr>
          <w:color w:val="231F20"/>
          <w:spacing w:val="-5"/>
          <w:w w:val="105"/>
        </w:rPr>
        <w:t>Value </w:t>
      </w:r>
      <w:r>
        <w:rPr>
          <w:color w:val="231F20"/>
          <w:w w:val="105"/>
        </w:rPr>
        <w:t>Base and the chairman of the board or a member of the board of its various subsidiaries, </w:t>
      </w:r>
      <w:r>
        <w:rPr>
          <w:color w:val="231F20"/>
          <w:spacing w:val="-3"/>
          <w:w w:val="105"/>
        </w:rPr>
        <w:t>for </w:t>
      </w:r>
      <w:r>
        <w:rPr>
          <w:color w:val="231F20"/>
          <w:w w:val="105"/>
        </w:rPr>
        <w:t>election as a member of our Board. </w:t>
      </w:r>
      <w:r>
        <w:rPr>
          <w:color w:val="231F20"/>
          <w:spacing w:val="-6"/>
          <w:w w:val="105"/>
        </w:rPr>
        <w:t>For </w:t>
      </w:r>
      <w:r>
        <w:rPr>
          <w:color w:val="231F20"/>
          <w:w w:val="105"/>
        </w:rPr>
        <w:t>a description of </w:t>
      </w:r>
      <w:r>
        <w:rPr>
          <w:color w:val="231F20"/>
          <w:spacing w:val="-5"/>
          <w:w w:val="105"/>
        </w:rPr>
        <w:t>Mr. </w:t>
      </w:r>
      <w:r>
        <w:rPr>
          <w:color w:val="231F20"/>
          <w:spacing w:val="-3"/>
          <w:w w:val="105"/>
        </w:rPr>
        <w:t>Nouberger’s </w:t>
      </w:r>
      <w:r>
        <w:rPr>
          <w:color w:val="231F20"/>
          <w:w w:val="105"/>
        </w:rPr>
        <w:t>background and experience, please see below under “Director</w:t>
      </w:r>
      <w:r>
        <w:rPr>
          <w:color w:val="231F20"/>
          <w:spacing w:val="-14"/>
          <w:w w:val="105"/>
        </w:rPr>
        <w:t> </w:t>
      </w:r>
      <w:r>
        <w:rPr>
          <w:color w:val="231F20"/>
          <w:w w:val="105"/>
        </w:rPr>
        <w:t>Nominee”.</w:t>
      </w:r>
    </w:p>
    <w:p>
      <w:pPr>
        <w:pStyle w:val="BodyText"/>
        <w:spacing w:line="259" w:lineRule="auto"/>
        <w:ind w:left="1090" w:right="1322"/>
      </w:pPr>
      <w:r>
        <w:rPr>
          <w:color w:val="231F20"/>
          <w:w w:val="105"/>
        </w:rPr>
        <w:t>Under the Israel Companies Law, any shareholder that holds at least 1% of a company’s outstanding voting power may nominate a candidate to be elected as a director at such company’s annual general meeting. In addition, pursuant to Article 33(b) of our Articles of Association, any shareholder desiring to propose a candidate for election to the Board must, as a condition to such proposal being considered, advise us of the identity of such candidate at least two (2) weeks prior to the date of the general meeting at which such resolution is to be considered. Since Value Base satisfied the requirements under the Israel Companies Law and Article 33(b) of our Articles of Association discussed above, it has the right to nominate Mr. Nouberger for election to our Board.</w:t>
      </w:r>
    </w:p>
    <w:p>
      <w:pPr>
        <w:pStyle w:val="BodyText"/>
        <w:spacing w:line="259" w:lineRule="auto" w:before="145"/>
        <w:ind w:left="1090" w:right="1408" w:firstLine="399"/>
      </w:pPr>
      <w:r>
        <w:rPr>
          <w:color w:val="231F20"/>
          <w:w w:val="105"/>
        </w:rPr>
        <w:t>Our Board of  Directors considered </w:t>
      </w:r>
      <w:r>
        <w:rPr>
          <w:color w:val="231F20"/>
          <w:spacing w:val="-5"/>
          <w:w w:val="105"/>
        </w:rPr>
        <w:t>Mr. </w:t>
      </w:r>
      <w:r>
        <w:rPr>
          <w:color w:val="231F20"/>
          <w:spacing w:val="-3"/>
          <w:w w:val="105"/>
        </w:rPr>
        <w:t>Nouberger’s </w:t>
      </w:r>
      <w:r>
        <w:rPr>
          <w:color w:val="231F20"/>
          <w:w w:val="105"/>
        </w:rPr>
        <w:t>experience, skills and qualifications, and believe he</w:t>
      </w:r>
      <w:r>
        <w:rPr>
          <w:color w:val="231F20"/>
          <w:spacing w:val="-14"/>
          <w:w w:val="105"/>
        </w:rPr>
        <w:t> </w:t>
      </w:r>
      <w:r>
        <w:rPr>
          <w:color w:val="231F20"/>
          <w:w w:val="105"/>
        </w:rPr>
        <w:t>would</w:t>
      </w:r>
      <w:r>
        <w:rPr>
          <w:color w:val="231F20"/>
          <w:spacing w:val="-14"/>
          <w:w w:val="105"/>
        </w:rPr>
        <w:t> </w:t>
      </w:r>
      <w:r>
        <w:rPr>
          <w:color w:val="231F20"/>
          <w:w w:val="105"/>
        </w:rPr>
        <w:t>be</w:t>
      </w:r>
      <w:r>
        <w:rPr>
          <w:color w:val="231F20"/>
          <w:spacing w:val="-14"/>
          <w:w w:val="105"/>
        </w:rPr>
        <w:t> </w:t>
      </w:r>
      <w:r>
        <w:rPr>
          <w:color w:val="231F20"/>
          <w:w w:val="105"/>
        </w:rPr>
        <w:t>a</w:t>
      </w:r>
      <w:r>
        <w:rPr>
          <w:color w:val="231F20"/>
          <w:spacing w:val="-14"/>
          <w:w w:val="105"/>
        </w:rPr>
        <w:t> </w:t>
      </w:r>
      <w:r>
        <w:rPr>
          <w:color w:val="231F20"/>
          <w:spacing w:val="-4"/>
          <w:w w:val="105"/>
        </w:rPr>
        <w:t>valuable</w:t>
      </w:r>
      <w:r>
        <w:rPr>
          <w:color w:val="231F20"/>
          <w:spacing w:val="-14"/>
          <w:w w:val="105"/>
        </w:rPr>
        <w:t> </w:t>
      </w:r>
      <w:r>
        <w:rPr>
          <w:color w:val="231F20"/>
          <w:w w:val="105"/>
        </w:rPr>
        <w:t>addition</w:t>
      </w:r>
      <w:r>
        <w:rPr>
          <w:color w:val="231F20"/>
          <w:spacing w:val="-13"/>
          <w:w w:val="105"/>
        </w:rPr>
        <w:t> </w:t>
      </w:r>
      <w:r>
        <w:rPr>
          <w:color w:val="231F20"/>
          <w:w w:val="105"/>
        </w:rPr>
        <w:t>to</w:t>
      </w:r>
      <w:r>
        <w:rPr>
          <w:color w:val="231F20"/>
          <w:spacing w:val="-14"/>
          <w:w w:val="105"/>
        </w:rPr>
        <w:t> </w:t>
      </w:r>
      <w:r>
        <w:rPr>
          <w:color w:val="231F20"/>
          <w:w w:val="105"/>
        </w:rPr>
        <w:t>our</w:t>
      </w:r>
      <w:r>
        <w:rPr>
          <w:color w:val="231F20"/>
          <w:spacing w:val="-14"/>
          <w:w w:val="105"/>
        </w:rPr>
        <w:t> </w:t>
      </w:r>
      <w:r>
        <w:rPr>
          <w:color w:val="231F20"/>
          <w:w w:val="105"/>
        </w:rPr>
        <w:t>Board.</w:t>
      </w:r>
      <w:r>
        <w:rPr>
          <w:color w:val="231F20"/>
          <w:spacing w:val="-14"/>
          <w:w w:val="105"/>
        </w:rPr>
        <w:t> </w:t>
      </w:r>
      <w:r>
        <w:rPr>
          <w:color w:val="231F20"/>
          <w:spacing w:val="-5"/>
          <w:w w:val="105"/>
        </w:rPr>
        <w:t>Mr.</w:t>
      </w:r>
      <w:r>
        <w:rPr>
          <w:color w:val="231F20"/>
          <w:spacing w:val="-14"/>
          <w:w w:val="105"/>
        </w:rPr>
        <w:t> </w:t>
      </w:r>
      <w:r>
        <w:rPr>
          <w:color w:val="231F20"/>
          <w:w w:val="105"/>
        </w:rPr>
        <w:t>Nouberger</w:t>
      </w:r>
      <w:r>
        <w:rPr>
          <w:color w:val="231F20"/>
          <w:spacing w:val="-14"/>
          <w:w w:val="105"/>
        </w:rPr>
        <w:t> </w:t>
      </w:r>
      <w:r>
        <w:rPr>
          <w:color w:val="231F20"/>
          <w:w w:val="105"/>
        </w:rPr>
        <w:t>has</w:t>
      </w:r>
      <w:r>
        <w:rPr>
          <w:color w:val="231F20"/>
          <w:spacing w:val="-13"/>
          <w:w w:val="105"/>
        </w:rPr>
        <w:t> </w:t>
      </w:r>
      <w:r>
        <w:rPr>
          <w:color w:val="231F20"/>
          <w:w w:val="105"/>
        </w:rPr>
        <w:t>significant</w:t>
      </w:r>
      <w:r>
        <w:rPr>
          <w:color w:val="231F20"/>
          <w:spacing w:val="-14"/>
          <w:w w:val="105"/>
        </w:rPr>
        <w:t> </w:t>
      </w:r>
      <w:r>
        <w:rPr>
          <w:color w:val="231F20"/>
          <w:w w:val="105"/>
        </w:rPr>
        <w:t>experience</w:t>
      </w:r>
      <w:r>
        <w:rPr>
          <w:color w:val="231F20"/>
          <w:spacing w:val="-14"/>
          <w:w w:val="105"/>
        </w:rPr>
        <w:t> </w:t>
      </w:r>
      <w:r>
        <w:rPr>
          <w:color w:val="231F20"/>
          <w:w w:val="105"/>
        </w:rPr>
        <w:t>in</w:t>
      </w:r>
      <w:r>
        <w:rPr>
          <w:color w:val="231F20"/>
          <w:spacing w:val="-14"/>
          <w:w w:val="105"/>
        </w:rPr>
        <w:t> </w:t>
      </w:r>
      <w:r>
        <w:rPr>
          <w:color w:val="231F20"/>
          <w:w w:val="105"/>
        </w:rPr>
        <w:t>senior</w:t>
      </w:r>
      <w:r>
        <w:rPr>
          <w:color w:val="231F20"/>
          <w:spacing w:val="-14"/>
          <w:w w:val="105"/>
        </w:rPr>
        <w:t> </w:t>
      </w:r>
      <w:r>
        <w:rPr>
          <w:color w:val="231F20"/>
          <w:w w:val="105"/>
        </w:rPr>
        <w:t>management roles </w:t>
      </w:r>
      <w:r>
        <w:rPr>
          <w:color w:val="231F20"/>
          <w:spacing w:val="-3"/>
          <w:w w:val="105"/>
        </w:rPr>
        <w:t>at </w:t>
      </w:r>
      <w:r>
        <w:rPr>
          <w:color w:val="231F20"/>
          <w:spacing w:val="-5"/>
          <w:w w:val="105"/>
        </w:rPr>
        <w:t>Value </w:t>
      </w:r>
      <w:r>
        <w:rPr>
          <w:color w:val="231F20"/>
          <w:w w:val="105"/>
        </w:rPr>
        <w:t>Base and as CEO and director of various Israeli companies and possesses expertise</w:t>
      </w:r>
      <w:r>
        <w:rPr>
          <w:color w:val="231F20"/>
          <w:spacing w:val="-14"/>
          <w:w w:val="105"/>
        </w:rPr>
        <w:t> </w:t>
      </w:r>
      <w:r>
        <w:rPr>
          <w:color w:val="231F20"/>
          <w:w w:val="105"/>
        </w:rPr>
        <w:t>in</w:t>
      </w:r>
    </w:p>
    <w:p>
      <w:pPr>
        <w:pStyle w:val="BodyText"/>
        <w:spacing w:line="227" w:lineRule="exact"/>
        <w:ind w:left="1090"/>
      </w:pPr>
      <w:r>
        <w:rPr>
          <w:color w:val="231F20"/>
          <w:w w:val="105"/>
        </w:rPr>
        <w:t>finance and capital markets.</w:t>
      </w:r>
    </w:p>
    <w:p>
      <w:pPr>
        <w:pStyle w:val="BodyText"/>
        <w:spacing w:line="259" w:lineRule="auto" w:before="178"/>
        <w:ind w:left="1090" w:right="1322" w:firstLine="399"/>
      </w:pPr>
      <w:r>
        <w:rPr>
          <w:color w:val="231F20"/>
          <w:w w:val="105"/>
        </w:rPr>
        <w:t>Mr. Nouberger has consented to being named in this Proxy Statement and to serve if elected and has advised us that he has the qualifications and time required for the performance of his or her duties as a director, and that there are no legal restrictions preventing him or her from assuming such office.</w:t>
      </w:r>
    </w:p>
    <w:p>
      <w:pPr>
        <w:pStyle w:val="BodyText"/>
        <w:spacing w:before="6"/>
      </w:pPr>
    </w:p>
    <w:p>
      <w:pPr>
        <w:pStyle w:val="Heading2"/>
      </w:pPr>
      <w:r>
        <w:rPr>
          <w:color w:val="231F20"/>
        </w:rPr>
        <w:t>Director Nominee</w:t>
      </w:r>
    </w:p>
    <w:p>
      <w:pPr>
        <w:pStyle w:val="BodyText"/>
        <w:spacing w:line="259" w:lineRule="auto" w:before="169"/>
        <w:ind w:left="1090" w:right="1322" w:firstLine="399"/>
      </w:pPr>
      <w:r>
        <w:rPr>
          <w:i/>
          <w:color w:val="231F20"/>
          <w:spacing w:val="-7"/>
          <w:w w:val="105"/>
        </w:rPr>
        <w:t>Mr. </w:t>
      </w:r>
      <w:r>
        <w:rPr>
          <w:i/>
          <w:color w:val="231F20"/>
          <w:w w:val="105"/>
        </w:rPr>
        <w:t>Ido Nouberger </w:t>
      </w:r>
      <w:r>
        <w:rPr>
          <w:color w:val="231F20"/>
          <w:w w:val="105"/>
        </w:rPr>
        <w:t>has served as the CEO of </w:t>
      </w:r>
      <w:r>
        <w:rPr>
          <w:color w:val="231F20"/>
          <w:spacing w:val="-5"/>
          <w:w w:val="105"/>
        </w:rPr>
        <w:t>Value </w:t>
      </w:r>
      <w:r>
        <w:rPr>
          <w:color w:val="231F20"/>
          <w:w w:val="105"/>
        </w:rPr>
        <w:t>Base since its inception in 2013. He </w:t>
      </w:r>
      <w:r>
        <w:rPr>
          <w:color w:val="231F20"/>
          <w:spacing w:val="-3"/>
          <w:w w:val="105"/>
        </w:rPr>
        <w:t>also </w:t>
      </w:r>
      <w:r>
        <w:rPr>
          <w:color w:val="231F20"/>
          <w:w w:val="105"/>
        </w:rPr>
        <w:t>holds the position of chairman of the board or board member of </w:t>
      </w:r>
      <w:r>
        <w:rPr>
          <w:color w:val="231F20"/>
          <w:spacing w:val="-5"/>
          <w:w w:val="105"/>
        </w:rPr>
        <w:t>Value </w:t>
      </w:r>
      <w:r>
        <w:rPr>
          <w:color w:val="231F20"/>
          <w:spacing w:val="-3"/>
          <w:w w:val="105"/>
        </w:rPr>
        <w:t>Base’s </w:t>
      </w:r>
      <w:r>
        <w:rPr>
          <w:color w:val="231F20"/>
          <w:w w:val="105"/>
        </w:rPr>
        <w:t>various subsidiaries. Prior to that, he served as CEO and a director or various Israeli companies. </w:t>
      </w:r>
      <w:r>
        <w:rPr>
          <w:color w:val="231F20"/>
          <w:spacing w:val="-5"/>
          <w:w w:val="105"/>
        </w:rPr>
        <w:t>Mr. </w:t>
      </w:r>
      <w:r>
        <w:rPr>
          <w:color w:val="231F20"/>
          <w:w w:val="105"/>
        </w:rPr>
        <w:t>Nouberger holds a M.A. and </w:t>
      </w:r>
      <w:r>
        <w:rPr>
          <w:color w:val="231F20"/>
          <w:spacing w:val="-3"/>
          <w:w w:val="105"/>
        </w:rPr>
        <w:t>B.A, </w:t>
      </w:r>
      <w:r>
        <w:rPr>
          <w:color w:val="231F20"/>
          <w:w w:val="105"/>
        </w:rPr>
        <w:t>both in economics, from </w:t>
      </w:r>
      <w:r>
        <w:rPr>
          <w:color w:val="231F20"/>
          <w:spacing w:val="-6"/>
          <w:w w:val="105"/>
        </w:rPr>
        <w:t>Tel Aviv</w:t>
      </w:r>
      <w:r>
        <w:rPr>
          <w:color w:val="231F20"/>
          <w:spacing w:val="-9"/>
          <w:w w:val="105"/>
        </w:rPr>
        <w:t> </w:t>
      </w:r>
      <w:r>
        <w:rPr>
          <w:color w:val="231F20"/>
          <w:spacing w:val="-3"/>
          <w:w w:val="105"/>
        </w:rPr>
        <w:t>University.</w:t>
      </w:r>
    </w:p>
    <w:p>
      <w:pPr>
        <w:pStyle w:val="BodyText"/>
        <w:spacing w:line="259" w:lineRule="auto" w:before="156"/>
        <w:ind w:left="1090" w:right="1378" w:firstLine="399"/>
      </w:pPr>
      <w:r>
        <w:rPr>
          <w:color w:val="231F20"/>
          <w:w w:val="105"/>
        </w:rPr>
        <w:t>If elected </w:t>
      </w:r>
      <w:r>
        <w:rPr>
          <w:color w:val="231F20"/>
          <w:spacing w:val="-3"/>
          <w:w w:val="105"/>
        </w:rPr>
        <w:t>at </w:t>
      </w:r>
      <w:r>
        <w:rPr>
          <w:color w:val="231F20"/>
          <w:w w:val="105"/>
        </w:rPr>
        <w:t>the Meeting, </w:t>
      </w:r>
      <w:r>
        <w:rPr>
          <w:color w:val="231F20"/>
          <w:spacing w:val="-5"/>
          <w:w w:val="105"/>
        </w:rPr>
        <w:t>Mr. </w:t>
      </w:r>
      <w:r>
        <w:rPr>
          <w:color w:val="231F20"/>
          <w:w w:val="105"/>
        </w:rPr>
        <w:t>Nouberger will serve until the next </w:t>
      </w:r>
      <w:r>
        <w:rPr>
          <w:color w:val="231F20"/>
          <w:spacing w:val="-3"/>
          <w:w w:val="105"/>
        </w:rPr>
        <w:t>annual </w:t>
      </w:r>
      <w:r>
        <w:rPr>
          <w:color w:val="231F20"/>
          <w:w w:val="105"/>
        </w:rPr>
        <w:t>meeting of our shareholders and until his successor has been duly elected and qualified or until his office is vacated in accordance with our</w:t>
      </w:r>
      <w:r>
        <w:rPr>
          <w:color w:val="231F20"/>
          <w:spacing w:val="-8"/>
          <w:w w:val="105"/>
        </w:rPr>
        <w:t> </w:t>
      </w:r>
      <w:r>
        <w:rPr>
          <w:color w:val="231F20"/>
          <w:w w:val="105"/>
        </w:rPr>
        <w:t>Articles</w:t>
      </w:r>
      <w:r>
        <w:rPr>
          <w:color w:val="231F20"/>
          <w:spacing w:val="-8"/>
          <w:w w:val="105"/>
        </w:rPr>
        <w:t> </w:t>
      </w:r>
      <w:r>
        <w:rPr>
          <w:color w:val="231F20"/>
          <w:w w:val="105"/>
        </w:rPr>
        <w:t>of</w:t>
      </w:r>
      <w:r>
        <w:rPr>
          <w:color w:val="231F20"/>
          <w:spacing w:val="12"/>
          <w:w w:val="105"/>
        </w:rPr>
        <w:t> </w:t>
      </w:r>
      <w:r>
        <w:rPr>
          <w:color w:val="231F20"/>
          <w:w w:val="105"/>
        </w:rPr>
        <w:t>Association</w:t>
      </w:r>
      <w:r>
        <w:rPr>
          <w:color w:val="231F20"/>
          <w:spacing w:val="-8"/>
          <w:w w:val="105"/>
        </w:rPr>
        <w:t> </w:t>
      </w:r>
      <w:r>
        <w:rPr>
          <w:color w:val="231F20"/>
          <w:w w:val="105"/>
        </w:rPr>
        <w:t>or</w:t>
      </w:r>
      <w:r>
        <w:rPr>
          <w:color w:val="231F20"/>
          <w:spacing w:val="-7"/>
          <w:w w:val="105"/>
        </w:rPr>
        <w:t> </w:t>
      </w:r>
      <w:r>
        <w:rPr>
          <w:color w:val="231F20"/>
          <w:w w:val="105"/>
        </w:rPr>
        <w:t>the</w:t>
      </w:r>
      <w:r>
        <w:rPr>
          <w:color w:val="231F20"/>
          <w:spacing w:val="-8"/>
          <w:w w:val="105"/>
        </w:rPr>
        <w:t> </w:t>
      </w:r>
      <w:r>
        <w:rPr>
          <w:color w:val="231F20"/>
          <w:w w:val="105"/>
        </w:rPr>
        <w:t>Israel</w:t>
      </w:r>
      <w:r>
        <w:rPr>
          <w:color w:val="231F20"/>
          <w:spacing w:val="-7"/>
          <w:w w:val="105"/>
        </w:rPr>
        <w:t> </w:t>
      </w:r>
      <w:r>
        <w:rPr>
          <w:color w:val="231F20"/>
          <w:w w:val="105"/>
        </w:rPr>
        <w:t>Companies</w:t>
      </w:r>
      <w:r>
        <w:rPr>
          <w:color w:val="231F20"/>
          <w:spacing w:val="-8"/>
          <w:w w:val="105"/>
        </w:rPr>
        <w:t> </w:t>
      </w:r>
      <w:r>
        <w:rPr>
          <w:color w:val="231F20"/>
          <w:spacing w:val="-9"/>
          <w:w w:val="105"/>
        </w:rPr>
        <w:t>Law.</w:t>
      </w:r>
      <w:r>
        <w:rPr>
          <w:color w:val="231F20"/>
          <w:spacing w:val="-7"/>
          <w:w w:val="105"/>
        </w:rPr>
        <w:t> </w:t>
      </w:r>
      <w:r>
        <w:rPr>
          <w:color w:val="231F20"/>
          <w:w w:val="105"/>
        </w:rPr>
        <w:t>Please</w:t>
      </w:r>
      <w:r>
        <w:rPr>
          <w:color w:val="231F20"/>
          <w:spacing w:val="-8"/>
          <w:w w:val="105"/>
        </w:rPr>
        <w:t> </w:t>
      </w:r>
      <w:r>
        <w:rPr>
          <w:color w:val="231F20"/>
          <w:w w:val="105"/>
        </w:rPr>
        <w:t>see</w:t>
      </w:r>
      <w:r>
        <w:rPr>
          <w:color w:val="231F20"/>
          <w:spacing w:val="-8"/>
          <w:w w:val="105"/>
        </w:rPr>
        <w:t> </w:t>
      </w:r>
      <w:r>
        <w:rPr>
          <w:color w:val="231F20"/>
          <w:w w:val="105"/>
        </w:rPr>
        <w:t>Proposal</w:t>
      </w:r>
      <w:r>
        <w:rPr>
          <w:color w:val="231F20"/>
          <w:spacing w:val="-7"/>
          <w:w w:val="105"/>
        </w:rPr>
        <w:t> </w:t>
      </w:r>
      <w:r>
        <w:rPr>
          <w:color w:val="231F20"/>
          <w:w w:val="105"/>
        </w:rPr>
        <w:t>2</w:t>
      </w:r>
      <w:r>
        <w:rPr>
          <w:color w:val="231F20"/>
          <w:spacing w:val="-8"/>
          <w:w w:val="105"/>
        </w:rPr>
        <w:t> </w:t>
      </w:r>
      <w:r>
        <w:rPr>
          <w:color w:val="231F20"/>
          <w:spacing w:val="-4"/>
          <w:w w:val="105"/>
        </w:rPr>
        <w:t>above</w:t>
      </w:r>
      <w:r>
        <w:rPr>
          <w:color w:val="231F20"/>
          <w:spacing w:val="-7"/>
          <w:w w:val="105"/>
        </w:rPr>
        <w:t> </w:t>
      </w:r>
      <w:r>
        <w:rPr>
          <w:color w:val="231F20"/>
          <w:spacing w:val="-3"/>
          <w:w w:val="105"/>
        </w:rPr>
        <w:t>for</w:t>
      </w:r>
      <w:r>
        <w:rPr>
          <w:color w:val="231F20"/>
          <w:spacing w:val="-8"/>
          <w:w w:val="105"/>
        </w:rPr>
        <w:t> </w:t>
      </w:r>
      <w:r>
        <w:rPr>
          <w:color w:val="231F20"/>
          <w:w w:val="105"/>
        </w:rPr>
        <w:t>a</w:t>
      </w:r>
      <w:r>
        <w:rPr>
          <w:color w:val="231F20"/>
          <w:spacing w:val="-8"/>
          <w:w w:val="105"/>
        </w:rPr>
        <w:t> </w:t>
      </w:r>
      <w:r>
        <w:rPr>
          <w:color w:val="231F20"/>
          <w:w w:val="105"/>
        </w:rPr>
        <w:t>discussion</w:t>
      </w:r>
      <w:r>
        <w:rPr>
          <w:color w:val="231F20"/>
          <w:spacing w:val="-7"/>
          <w:w w:val="105"/>
        </w:rPr>
        <w:t> </w:t>
      </w:r>
      <w:r>
        <w:rPr>
          <w:color w:val="231F20"/>
          <w:w w:val="105"/>
        </w:rPr>
        <w:t>of</w:t>
      </w:r>
      <w:r>
        <w:rPr>
          <w:color w:val="231F20"/>
          <w:spacing w:val="12"/>
          <w:w w:val="105"/>
        </w:rPr>
        <w:t> </w:t>
      </w:r>
      <w:r>
        <w:rPr>
          <w:color w:val="231F20"/>
          <w:spacing w:val="-3"/>
          <w:w w:val="105"/>
        </w:rPr>
        <w:t>what would </w:t>
      </w:r>
      <w:r>
        <w:rPr>
          <w:color w:val="231F20"/>
          <w:w w:val="105"/>
        </w:rPr>
        <w:t>occur if </w:t>
      </w:r>
      <w:r>
        <w:rPr>
          <w:color w:val="231F20"/>
          <w:spacing w:val="-3"/>
          <w:w w:val="105"/>
        </w:rPr>
        <w:t>Proposal </w:t>
      </w:r>
      <w:r>
        <w:rPr>
          <w:color w:val="231F20"/>
          <w:w w:val="105"/>
        </w:rPr>
        <w:t>1 </w:t>
      </w:r>
      <w:r>
        <w:rPr>
          <w:color w:val="231F20"/>
          <w:spacing w:val="-5"/>
          <w:w w:val="105"/>
        </w:rPr>
        <w:t>(approval </w:t>
      </w:r>
      <w:r>
        <w:rPr>
          <w:color w:val="231F20"/>
          <w:w w:val="105"/>
        </w:rPr>
        <w:t>of the amendment of our Articles) is not </w:t>
      </w:r>
      <w:r>
        <w:rPr>
          <w:color w:val="231F20"/>
          <w:spacing w:val="-4"/>
          <w:w w:val="105"/>
        </w:rPr>
        <w:t>approved </w:t>
      </w:r>
      <w:r>
        <w:rPr>
          <w:color w:val="231F20"/>
          <w:w w:val="105"/>
        </w:rPr>
        <w:t>and </w:t>
      </w:r>
      <w:r>
        <w:rPr>
          <w:color w:val="231F20"/>
          <w:spacing w:val="-4"/>
          <w:w w:val="105"/>
        </w:rPr>
        <w:t>all </w:t>
      </w:r>
      <w:r>
        <w:rPr>
          <w:color w:val="231F20"/>
          <w:w w:val="105"/>
        </w:rPr>
        <w:t>of the director- nominees are elected </w:t>
      </w:r>
      <w:r>
        <w:rPr>
          <w:color w:val="231F20"/>
          <w:spacing w:val="-3"/>
          <w:w w:val="105"/>
        </w:rPr>
        <w:t>at </w:t>
      </w:r>
      <w:r>
        <w:rPr>
          <w:color w:val="231F20"/>
          <w:w w:val="105"/>
        </w:rPr>
        <w:t>the</w:t>
      </w:r>
      <w:r>
        <w:rPr>
          <w:color w:val="231F20"/>
          <w:spacing w:val="-15"/>
          <w:w w:val="105"/>
        </w:rPr>
        <w:t> </w:t>
      </w:r>
      <w:r>
        <w:rPr>
          <w:color w:val="231F20"/>
          <w:w w:val="105"/>
        </w:rPr>
        <w:t>Meeting.</w:t>
      </w:r>
    </w:p>
    <w:p>
      <w:pPr>
        <w:spacing w:after="0" w:line="259" w:lineRule="auto"/>
        <w:sectPr>
          <w:pgSz w:w="11880" w:h="15480"/>
          <w:pgMar w:header="0" w:footer="664" w:top="940" w:bottom="860" w:left="300" w:right="0"/>
        </w:sectPr>
      </w:pPr>
    </w:p>
    <w:p>
      <w:pPr>
        <w:pStyle w:val="Heading2"/>
        <w:spacing w:before="87"/>
      </w:pPr>
      <w:r>
        <w:rPr>
          <w:color w:val="231F20"/>
        </w:rPr>
        <w:t>Proposed Resolution</w:t>
      </w:r>
    </w:p>
    <w:p>
      <w:pPr>
        <w:pStyle w:val="BodyText"/>
        <w:spacing w:before="169"/>
        <w:ind w:left="1489"/>
      </w:pPr>
      <w:r>
        <w:rPr>
          <w:color w:val="231F20"/>
          <w:w w:val="110"/>
        </w:rPr>
        <w:t>You are requested to adopt the following resolution:</w:t>
      </w:r>
    </w:p>
    <w:p>
      <w:pPr>
        <w:pStyle w:val="BodyText"/>
        <w:spacing w:line="237" w:lineRule="auto" w:before="160"/>
        <w:ind w:left="1090" w:right="1386" w:firstLine="399"/>
      </w:pPr>
      <w:r>
        <w:rPr>
          <w:color w:val="231F20"/>
          <w:w w:val="105"/>
        </w:rPr>
        <w:t>“3. “RESOLVED, that Mr. Ido Nouberger be elected as a director, to serve until the next annual meeting of shareholders”.</w:t>
      </w:r>
    </w:p>
    <w:p>
      <w:pPr>
        <w:pStyle w:val="BodyText"/>
        <w:spacing w:before="7"/>
      </w:pPr>
    </w:p>
    <w:p>
      <w:pPr>
        <w:pStyle w:val="Heading2"/>
      </w:pPr>
      <w:r>
        <w:rPr>
          <w:color w:val="231F20"/>
        </w:rPr>
        <w:t>Vote Required</w:t>
      </w:r>
    </w:p>
    <w:p>
      <w:pPr>
        <w:pStyle w:val="BodyText"/>
        <w:spacing w:before="169"/>
        <w:ind w:left="1489"/>
      </w:pPr>
      <w:r>
        <w:rPr>
          <w:color w:val="231F20"/>
          <w:w w:val="105"/>
        </w:rPr>
        <w:t>The affirmative vote of an Ordinary Majority is required to adopt the resolution.</w:t>
      </w:r>
    </w:p>
    <w:p>
      <w:pPr>
        <w:pStyle w:val="BodyText"/>
        <w:spacing w:before="7"/>
      </w:pPr>
    </w:p>
    <w:p>
      <w:pPr>
        <w:pStyle w:val="Heading2"/>
      </w:pPr>
      <w:r>
        <w:rPr>
          <w:color w:val="231F20"/>
        </w:rPr>
        <w:t>Board Recommendation</w:t>
      </w:r>
    </w:p>
    <w:p>
      <w:pPr>
        <w:pStyle w:val="BodyText"/>
        <w:spacing w:line="237" w:lineRule="auto" w:before="171"/>
        <w:ind w:left="1090" w:right="1705" w:firstLine="399"/>
      </w:pPr>
      <w:r>
        <w:rPr>
          <w:color w:val="231F20"/>
          <w:w w:val="110"/>
        </w:rPr>
        <w:t>THE</w:t>
      </w:r>
      <w:r>
        <w:rPr>
          <w:color w:val="231F20"/>
          <w:spacing w:val="-13"/>
          <w:w w:val="110"/>
        </w:rPr>
        <w:t> </w:t>
      </w:r>
      <w:r>
        <w:rPr>
          <w:color w:val="231F20"/>
          <w:w w:val="110"/>
        </w:rPr>
        <w:t>BOARD</w:t>
      </w:r>
      <w:r>
        <w:rPr>
          <w:color w:val="231F20"/>
          <w:spacing w:val="-12"/>
          <w:w w:val="110"/>
        </w:rPr>
        <w:t> </w:t>
      </w:r>
      <w:r>
        <w:rPr>
          <w:color w:val="231F20"/>
          <w:w w:val="110"/>
        </w:rPr>
        <w:t>OF</w:t>
      </w:r>
      <w:r>
        <w:rPr>
          <w:color w:val="231F20"/>
          <w:spacing w:val="-12"/>
          <w:w w:val="110"/>
        </w:rPr>
        <w:t> </w:t>
      </w:r>
      <w:r>
        <w:rPr>
          <w:color w:val="231F20"/>
          <w:w w:val="110"/>
        </w:rPr>
        <w:t>DIRECTORS</w:t>
      </w:r>
      <w:r>
        <w:rPr>
          <w:color w:val="231F20"/>
          <w:spacing w:val="-12"/>
          <w:w w:val="110"/>
        </w:rPr>
        <w:t> </w:t>
      </w:r>
      <w:r>
        <w:rPr>
          <w:color w:val="231F20"/>
          <w:w w:val="110"/>
        </w:rPr>
        <w:t>RECOMMENDS</w:t>
      </w:r>
      <w:r>
        <w:rPr>
          <w:color w:val="231F20"/>
          <w:spacing w:val="-12"/>
          <w:w w:val="110"/>
        </w:rPr>
        <w:t> </w:t>
      </w:r>
      <w:r>
        <w:rPr>
          <w:color w:val="231F20"/>
          <w:w w:val="110"/>
        </w:rPr>
        <w:t>A</w:t>
      </w:r>
      <w:r>
        <w:rPr>
          <w:color w:val="231F20"/>
          <w:spacing w:val="-12"/>
          <w:w w:val="110"/>
        </w:rPr>
        <w:t> </w:t>
      </w:r>
      <w:r>
        <w:rPr>
          <w:color w:val="231F20"/>
          <w:spacing w:val="-4"/>
          <w:w w:val="110"/>
        </w:rPr>
        <w:t>VOTE</w:t>
      </w:r>
      <w:r>
        <w:rPr>
          <w:color w:val="231F20"/>
          <w:spacing w:val="-12"/>
          <w:w w:val="110"/>
        </w:rPr>
        <w:t> </w:t>
      </w:r>
      <w:r>
        <w:rPr>
          <w:color w:val="231F20"/>
          <w:w w:val="110"/>
        </w:rPr>
        <w:t>“</w:t>
      </w:r>
      <w:r>
        <w:rPr>
          <w:b/>
          <w:color w:val="231F20"/>
          <w:w w:val="110"/>
        </w:rPr>
        <w:t>FOR</w:t>
      </w:r>
      <w:r>
        <w:rPr>
          <w:color w:val="231F20"/>
          <w:w w:val="110"/>
        </w:rPr>
        <w:t>”</w:t>
      </w:r>
      <w:r>
        <w:rPr>
          <w:color w:val="231F20"/>
          <w:spacing w:val="-22"/>
          <w:w w:val="110"/>
        </w:rPr>
        <w:t> </w:t>
      </w:r>
      <w:r>
        <w:rPr>
          <w:color w:val="231F20"/>
          <w:w w:val="110"/>
        </w:rPr>
        <w:t>THE</w:t>
      </w:r>
      <w:r>
        <w:rPr>
          <w:color w:val="231F20"/>
          <w:spacing w:val="-12"/>
          <w:w w:val="110"/>
        </w:rPr>
        <w:t> </w:t>
      </w:r>
      <w:r>
        <w:rPr>
          <w:color w:val="231F20"/>
          <w:w w:val="110"/>
        </w:rPr>
        <w:t>ADOPTION</w:t>
      </w:r>
      <w:r>
        <w:rPr>
          <w:color w:val="231F20"/>
          <w:spacing w:val="-12"/>
          <w:w w:val="110"/>
        </w:rPr>
        <w:t> </w:t>
      </w:r>
      <w:r>
        <w:rPr>
          <w:color w:val="231F20"/>
          <w:w w:val="110"/>
        </w:rPr>
        <w:t>OF</w:t>
      </w:r>
      <w:r>
        <w:rPr>
          <w:color w:val="231F20"/>
          <w:spacing w:val="-12"/>
          <w:w w:val="110"/>
        </w:rPr>
        <w:t> </w:t>
      </w:r>
      <w:r>
        <w:rPr>
          <w:color w:val="231F20"/>
          <w:w w:val="110"/>
        </w:rPr>
        <w:t>THE FOREGOING</w:t>
      </w:r>
      <w:r>
        <w:rPr>
          <w:color w:val="231F20"/>
          <w:spacing w:val="-6"/>
          <w:w w:val="110"/>
        </w:rPr>
        <w:t> </w:t>
      </w:r>
      <w:r>
        <w:rPr>
          <w:color w:val="231F20"/>
          <w:spacing w:val="-3"/>
          <w:w w:val="110"/>
        </w:rPr>
        <w:t>RESOLUTION.</w:t>
      </w:r>
    </w:p>
    <w:p>
      <w:pPr>
        <w:pStyle w:val="BodyText"/>
        <w:spacing w:before="7"/>
        <w:rPr>
          <w:sz w:val="11"/>
        </w:rPr>
      </w:pPr>
    </w:p>
    <w:p>
      <w:pPr>
        <w:spacing w:before="104"/>
        <w:ind w:left="1720" w:right="2017" w:firstLine="0"/>
        <w:jc w:val="center"/>
        <w:rPr>
          <w:b/>
          <w:sz w:val="20"/>
        </w:rPr>
      </w:pPr>
      <w:r>
        <w:rPr>
          <w:b/>
          <w:color w:val="231F20"/>
          <w:sz w:val="20"/>
          <w:u w:val="single" w:color="231F20"/>
        </w:rPr>
        <w:t>PROPOSAL 4</w:t>
      </w:r>
    </w:p>
    <w:p>
      <w:pPr>
        <w:spacing w:before="117"/>
        <w:ind w:left="1721" w:right="2017" w:firstLine="0"/>
        <w:jc w:val="center"/>
        <w:rPr>
          <w:b/>
          <w:sz w:val="20"/>
        </w:rPr>
      </w:pPr>
      <w:r>
        <w:rPr>
          <w:b/>
          <w:color w:val="231F20"/>
          <w:sz w:val="20"/>
        </w:rPr>
        <w:t>ELECTION OF NIR ROTENBERG AS A DIRECTOR</w:t>
      </w:r>
    </w:p>
    <w:p>
      <w:pPr>
        <w:pStyle w:val="BodyText"/>
        <w:spacing w:before="8"/>
        <w:rPr>
          <w:b/>
          <w:sz w:val="21"/>
        </w:rPr>
      </w:pPr>
    </w:p>
    <w:p>
      <w:pPr>
        <w:pStyle w:val="Heading2"/>
      </w:pPr>
      <w:r>
        <w:rPr>
          <w:color w:val="231F20"/>
        </w:rPr>
        <w:t>Background</w:t>
      </w:r>
    </w:p>
    <w:p>
      <w:pPr>
        <w:pStyle w:val="BodyText"/>
        <w:spacing w:line="237" w:lineRule="auto" w:before="171"/>
        <w:ind w:left="1090" w:right="1386" w:firstLine="399"/>
      </w:pPr>
      <w:r>
        <w:rPr>
          <w:color w:val="231F20"/>
          <w:w w:val="105"/>
        </w:rPr>
        <w:t>On December 6, 2023, we received a letter from Danbar Finance Ltd., a private investment group located in Israel (“Danbar”), which currently holds </w:t>
      </w:r>
      <w:r>
        <w:rPr>
          <w:color w:val="231F20"/>
          <w:spacing w:val="-3"/>
          <w:w w:val="105"/>
        </w:rPr>
        <w:t>approximately </w:t>
      </w:r>
      <w:r>
        <w:rPr>
          <w:color w:val="231F20"/>
          <w:w w:val="105"/>
        </w:rPr>
        <w:t>4.6% of our issued and outstanding ordinary shares (as described </w:t>
      </w:r>
      <w:r>
        <w:rPr>
          <w:color w:val="231F20"/>
          <w:spacing w:val="-4"/>
          <w:w w:val="105"/>
        </w:rPr>
        <w:t>above </w:t>
      </w:r>
      <w:r>
        <w:rPr>
          <w:color w:val="231F20"/>
          <w:w w:val="105"/>
        </w:rPr>
        <w:t>under “Security Ownership of Certain Beneficial Owners and Management”). In such </w:t>
      </w:r>
      <w:r>
        <w:rPr>
          <w:color w:val="231F20"/>
          <w:spacing w:val="-3"/>
          <w:w w:val="105"/>
        </w:rPr>
        <w:t>letter, </w:t>
      </w:r>
      <w:r>
        <w:rPr>
          <w:color w:val="231F20"/>
          <w:w w:val="105"/>
        </w:rPr>
        <w:t>Danbar requested that we nominate Nir </w:t>
      </w:r>
      <w:r>
        <w:rPr>
          <w:color w:val="231F20"/>
          <w:spacing w:val="-3"/>
          <w:w w:val="105"/>
        </w:rPr>
        <w:t>Rotenberg, </w:t>
      </w:r>
      <w:r>
        <w:rPr>
          <w:color w:val="231F20"/>
          <w:w w:val="105"/>
        </w:rPr>
        <w:t>the Chairman of the  Board of </w:t>
      </w:r>
      <w:r>
        <w:rPr>
          <w:color w:val="231F20"/>
          <w:spacing w:val="-3"/>
          <w:w w:val="105"/>
        </w:rPr>
        <w:t>Danbar, for </w:t>
      </w:r>
      <w:r>
        <w:rPr>
          <w:color w:val="231F20"/>
          <w:w w:val="105"/>
        </w:rPr>
        <w:t>election as a member of our Board. </w:t>
      </w:r>
      <w:r>
        <w:rPr>
          <w:color w:val="231F20"/>
          <w:spacing w:val="-6"/>
          <w:w w:val="105"/>
        </w:rPr>
        <w:t>For </w:t>
      </w:r>
      <w:r>
        <w:rPr>
          <w:color w:val="231F20"/>
          <w:w w:val="105"/>
        </w:rPr>
        <w:t>a description of </w:t>
      </w:r>
      <w:r>
        <w:rPr>
          <w:color w:val="231F20"/>
          <w:spacing w:val="-5"/>
          <w:w w:val="105"/>
        </w:rPr>
        <w:t>Mr. </w:t>
      </w:r>
      <w:r>
        <w:rPr>
          <w:color w:val="231F20"/>
          <w:spacing w:val="-4"/>
          <w:w w:val="105"/>
        </w:rPr>
        <w:t>Rotenberg’s </w:t>
      </w:r>
      <w:r>
        <w:rPr>
          <w:color w:val="231F20"/>
          <w:w w:val="105"/>
        </w:rPr>
        <w:t>background and experience, please see below under “Director Nominee”. Under the Israel Companies </w:t>
      </w:r>
      <w:r>
        <w:rPr>
          <w:color w:val="231F20"/>
          <w:spacing w:val="-8"/>
          <w:w w:val="105"/>
        </w:rPr>
        <w:t>Law, </w:t>
      </w:r>
      <w:r>
        <w:rPr>
          <w:color w:val="231F20"/>
          <w:spacing w:val="-3"/>
          <w:w w:val="105"/>
        </w:rPr>
        <w:t>any </w:t>
      </w:r>
      <w:r>
        <w:rPr>
          <w:color w:val="231F20"/>
          <w:w w:val="105"/>
        </w:rPr>
        <w:t>shareholder that holds </w:t>
      </w:r>
      <w:r>
        <w:rPr>
          <w:color w:val="231F20"/>
          <w:spacing w:val="-3"/>
          <w:w w:val="105"/>
        </w:rPr>
        <w:t>at </w:t>
      </w:r>
      <w:r>
        <w:rPr>
          <w:color w:val="231F20"/>
          <w:w w:val="105"/>
        </w:rPr>
        <w:t>least 1% of  a </w:t>
      </w:r>
      <w:r>
        <w:rPr>
          <w:color w:val="231F20"/>
          <w:spacing w:val="-3"/>
          <w:w w:val="105"/>
        </w:rPr>
        <w:t>company’s </w:t>
      </w:r>
      <w:r>
        <w:rPr>
          <w:color w:val="231F20"/>
          <w:w w:val="105"/>
        </w:rPr>
        <w:t>outstanding voting power </w:t>
      </w:r>
      <w:r>
        <w:rPr>
          <w:color w:val="231F20"/>
          <w:spacing w:val="-3"/>
          <w:w w:val="105"/>
        </w:rPr>
        <w:t>may </w:t>
      </w:r>
      <w:r>
        <w:rPr>
          <w:color w:val="231F20"/>
          <w:w w:val="105"/>
        </w:rPr>
        <w:t>nominate a candidate to  be elected as a director </w:t>
      </w:r>
      <w:r>
        <w:rPr>
          <w:color w:val="231F20"/>
          <w:spacing w:val="-3"/>
          <w:w w:val="105"/>
        </w:rPr>
        <w:t>at </w:t>
      </w:r>
      <w:r>
        <w:rPr>
          <w:color w:val="231F20"/>
          <w:w w:val="105"/>
        </w:rPr>
        <w:t>such </w:t>
      </w:r>
      <w:r>
        <w:rPr>
          <w:color w:val="231F20"/>
          <w:spacing w:val="-3"/>
          <w:w w:val="105"/>
        </w:rPr>
        <w:t>company’s annual </w:t>
      </w:r>
      <w:r>
        <w:rPr>
          <w:color w:val="231F20"/>
          <w:w w:val="105"/>
        </w:rPr>
        <w:t>general meeting. In addition, pursuant to Article 33(b) of our</w:t>
      </w:r>
      <w:r>
        <w:rPr>
          <w:color w:val="231F20"/>
          <w:spacing w:val="-9"/>
          <w:w w:val="105"/>
        </w:rPr>
        <w:t> </w:t>
      </w:r>
      <w:r>
        <w:rPr>
          <w:color w:val="231F20"/>
          <w:w w:val="105"/>
        </w:rPr>
        <w:t>Articles</w:t>
      </w:r>
      <w:r>
        <w:rPr>
          <w:color w:val="231F20"/>
          <w:spacing w:val="-8"/>
          <w:w w:val="105"/>
        </w:rPr>
        <w:t> </w:t>
      </w:r>
      <w:r>
        <w:rPr>
          <w:color w:val="231F20"/>
          <w:w w:val="105"/>
        </w:rPr>
        <w:t>of</w:t>
      </w:r>
      <w:r>
        <w:rPr>
          <w:color w:val="231F20"/>
          <w:spacing w:val="15"/>
          <w:w w:val="105"/>
        </w:rPr>
        <w:t> </w:t>
      </w:r>
      <w:r>
        <w:rPr>
          <w:color w:val="231F20"/>
          <w:w w:val="105"/>
        </w:rPr>
        <w:t>Association,</w:t>
      </w:r>
      <w:r>
        <w:rPr>
          <w:color w:val="231F20"/>
          <w:spacing w:val="-9"/>
          <w:w w:val="105"/>
        </w:rPr>
        <w:t> </w:t>
      </w:r>
      <w:r>
        <w:rPr>
          <w:color w:val="231F20"/>
          <w:spacing w:val="-3"/>
          <w:w w:val="105"/>
        </w:rPr>
        <w:t>any</w:t>
      </w:r>
      <w:r>
        <w:rPr>
          <w:color w:val="231F20"/>
          <w:spacing w:val="-8"/>
          <w:w w:val="105"/>
        </w:rPr>
        <w:t> </w:t>
      </w:r>
      <w:r>
        <w:rPr>
          <w:color w:val="231F20"/>
          <w:w w:val="105"/>
        </w:rPr>
        <w:t>shareholder</w:t>
      </w:r>
      <w:r>
        <w:rPr>
          <w:color w:val="231F20"/>
          <w:spacing w:val="-8"/>
          <w:w w:val="105"/>
        </w:rPr>
        <w:t> </w:t>
      </w:r>
      <w:r>
        <w:rPr>
          <w:color w:val="231F20"/>
          <w:w w:val="105"/>
        </w:rPr>
        <w:t>desiring</w:t>
      </w:r>
      <w:r>
        <w:rPr>
          <w:color w:val="231F20"/>
          <w:spacing w:val="-8"/>
          <w:w w:val="105"/>
        </w:rPr>
        <w:t> </w:t>
      </w:r>
      <w:r>
        <w:rPr>
          <w:color w:val="231F20"/>
          <w:w w:val="105"/>
        </w:rPr>
        <w:t>to</w:t>
      </w:r>
      <w:r>
        <w:rPr>
          <w:color w:val="231F20"/>
          <w:spacing w:val="-8"/>
          <w:w w:val="105"/>
        </w:rPr>
        <w:t> </w:t>
      </w:r>
      <w:r>
        <w:rPr>
          <w:color w:val="231F20"/>
          <w:w w:val="105"/>
        </w:rPr>
        <w:t>propose</w:t>
      </w:r>
      <w:r>
        <w:rPr>
          <w:color w:val="231F20"/>
          <w:spacing w:val="-8"/>
          <w:w w:val="105"/>
        </w:rPr>
        <w:t> </w:t>
      </w:r>
      <w:r>
        <w:rPr>
          <w:color w:val="231F20"/>
          <w:w w:val="105"/>
        </w:rPr>
        <w:t>a</w:t>
      </w:r>
      <w:r>
        <w:rPr>
          <w:color w:val="231F20"/>
          <w:spacing w:val="-8"/>
          <w:w w:val="105"/>
        </w:rPr>
        <w:t> </w:t>
      </w:r>
      <w:r>
        <w:rPr>
          <w:color w:val="231F20"/>
          <w:w w:val="105"/>
        </w:rPr>
        <w:t>candidate</w:t>
      </w:r>
      <w:r>
        <w:rPr>
          <w:color w:val="231F20"/>
          <w:spacing w:val="-8"/>
          <w:w w:val="105"/>
        </w:rPr>
        <w:t> </w:t>
      </w:r>
      <w:r>
        <w:rPr>
          <w:color w:val="231F20"/>
          <w:spacing w:val="-3"/>
          <w:w w:val="105"/>
        </w:rPr>
        <w:t>for</w:t>
      </w:r>
      <w:r>
        <w:rPr>
          <w:color w:val="231F20"/>
          <w:spacing w:val="-8"/>
          <w:w w:val="105"/>
        </w:rPr>
        <w:t> </w:t>
      </w:r>
      <w:r>
        <w:rPr>
          <w:color w:val="231F20"/>
          <w:w w:val="105"/>
        </w:rPr>
        <w:t>election</w:t>
      </w:r>
      <w:r>
        <w:rPr>
          <w:color w:val="231F20"/>
          <w:spacing w:val="-8"/>
          <w:w w:val="105"/>
        </w:rPr>
        <w:t> </w:t>
      </w:r>
      <w:r>
        <w:rPr>
          <w:color w:val="231F20"/>
          <w:w w:val="105"/>
        </w:rPr>
        <w:t>to</w:t>
      </w:r>
      <w:r>
        <w:rPr>
          <w:color w:val="231F20"/>
          <w:spacing w:val="-8"/>
          <w:w w:val="105"/>
        </w:rPr>
        <w:t> </w:t>
      </w:r>
      <w:r>
        <w:rPr>
          <w:color w:val="231F20"/>
          <w:w w:val="105"/>
        </w:rPr>
        <w:t>the</w:t>
      </w:r>
      <w:r>
        <w:rPr>
          <w:color w:val="231F20"/>
          <w:spacing w:val="-8"/>
          <w:w w:val="105"/>
        </w:rPr>
        <w:t> </w:t>
      </w:r>
      <w:r>
        <w:rPr>
          <w:color w:val="231F20"/>
          <w:w w:val="105"/>
        </w:rPr>
        <w:t>Board</w:t>
      </w:r>
      <w:r>
        <w:rPr>
          <w:color w:val="231F20"/>
          <w:spacing w:val="-8"/>
          <w:w w:val="105"/>
        </w:rPr>
        <w:t> </w:t>
      </w:r>
      <w:r>
        <w:rPr>
          <w:color w:val="231F20"/>
          <w:w w:val="105"/>
        </w:rPr>
        <w:t>must,</w:t>
      </w:r>
      <w:r>
        <w:rPr>
          <w:color w:val="231F20"/>
          <w:spacing w:val="-8"/>
          <w:w w:val="105"/>
        </w:rPr>
        <w:t> </w:t>
      </w:r>
      <w:r>
        <w:rPr>
          <w:color w:val="231F20"/>
          <w:w w:val="105"/>
        </w:rPr>
        <w:t>as a condition to such proposal being considered, advise us of the identity of such candidate </w:t>
      </w:r>
      <w:r>
        <w:rPr>
          <w:color w:val="231F20"/>
          <w:spacing w:val="-3"/>
          <w:w w:val="105"/>
        </w:rPr>
        <w:t>at </w:t>
      </w:r>
      <w:r>
        <w:rPr>
          <w:color w:val="231F20"/>
          <w:w w:val="105"/>
        </w:rPr>
        <w:t>least</w:t>
      </w:r>
      <w:r>
        <w:rPr>
          <w:color w:val="231F20"/>
          <w:spacing w:val="31"/>
          <w:w w:val="105"/>
        </w:rPr>
        <w:t> </w:t>
      </w:r>
      <w:r>
        <w:rPr>
          <w:color w:val="231F20"/>
          <w:spacing w:val="-3"/>
          <w:w w:val="105"/>
        </w:rPr>
        <w:t>two</w:t>
      </w:r>
    </w:p>
    <w:p>
      <w:pPr>
        <w:pStyle w:val="ListParagraph"/>
        <w:numPr>
          <w:ilvl w:val="0"/>
          <w:numId w:val="3"/>
        </w:numPr>
        <w:tabs>
          <w:tab w:pos="1372" w:val="left" w:leader="none"/>
        </w:tabs>
        <w:spacing w:line="237" w:lineRule="auto" w:before="0" w:after="0"/>
        <w:ind w:left="1090" w:right="1386" w:firstLine="0"/>
        <w:jc w:val="left"/>
        <w:rPr>
          <w:sz w:val="20"/>
        </w:rPr>
      </w:pPr>
      <w:r>
        <w:rPr>
          <w:color w:val="231F20"/>
          <w:w w:val="105"/>
          <w:sz w:val="20"/>
        </w:rPr>
        <w:t>weeks prior to the date of the general meeting </w:t>
      </w:r>
      <w:r>
        <w:rPr>
          <w:color w:val="231F20"/>
          <w:spacing w:val="-3"/>
          <w:w w:val="105"/>
          <w:sz w:val="20"/>
        </w:rPr>
        <w:t>at </w:t>
      </w:r>
      <w:r>
        <w:rPr>
          <w:color w:val="231F20"/>
          <w:w w:val="105"/>
          <w:sz w:val="20"/>
        </w:rPr>
        <w:t>which such resolution is to be considered. Since Danbar satisfied the requirements under the Israel Companies </w:t>
      </w:r>
      <w:r>
        <w:rPr>
          <w:color w:val="231F20"/>
          <w:spacing w:val="-5"/>
          <w:w w:val="105"/>
          <w:sz w:val="20"/>
        </w:rPr>
        <w:t>Law </w:t>
      </w:r>
      <w:r>
        <w:rPr>
          <w:color w:val="231F20"/>
          <w:w w:val="105"/>
          <w:sz w:val="20"/>
        </w:rPr>
        <w:t>and Article 33(b) of our Articles of Association discussed </w:t>
      </w:r>
      <w:r>
        <w:rPr>
          <w:color w:val="231F20"/>
          <w:spacing w:val="-5"/>
          <w:w w:val="105"/>
          <w:sz w:val="20"/>
        </w:rPr>
        <w:t>above, </w:t>
      </w:r>
      <w:r>
        <w:rPr>
          <w:color w:val="231F20"/>
          <w:w w:val="105"/>
          <w:sz w:val="20"/>
        </w:rPr>
        <w:t>it has the right to nominate </w:t>
      </w:r>
      <w:r>
        <w:rPr>
          <w:color w:val="231F20"/>
          <w:spacing w:val="-5"/>
          <w:w w:val="105"/>
          <w:sz w:val="20"/>
        </w:rPr>
        <w:t>Mr. </w:t>
      </w:r>
      <w:r>
        <w:rPr>
          <w:color w:val="231F20"/>
          <w:spacing w:val="-3"/>
          <w:w w:val="105"/>
          <w:sz w:val="20"/>
        </w:rPr>
        <w:t>Rotenberg for </w:t>
      </w:r>
      <w:r>
        <w:rPr>
          <w:color w:val="231F20"/>
          <w:w w:val="105"/>
          <w:sz w:val="20"/>
        </w:rPr>
        <w:t>election to our</w:t>
      </w:r>
      <w:r>
        <w:rPr>
          <w:color w:val="231F20"/>
          <w:spacing w:val="6"/>
          <w:w w:val="105"/>
          <w:sz w:val="20"/>
        </w:rPr>
        <w:t> </w:t>
      </w:r>
      <w:r>
        <w:rPr>
          <w:color w:val="231F20"/>
          <w:w w:val="105"/>
          <w:sz w:val="20"/>
        </w:rPr>
        <w:t>Board.</w:t>
      </w:r>
    </w:p>
    <w:p>
      <w:pPr>
        <w:pStyle w:val="BodyText"/>
        <w:spacing w:line="237" w:lineRule="auto" w:before="158"/>
        <w:ind w:left="1090" w:right="1408" w:firstLine="399"/>
      </w:pPr>
      <w:r>
        <w:rPr>
          <w:color w:val="231F20"/>
          <w:w w:val="105"/>
        </w:rPr>
        <w:t>Our Board of Directors considered </w:t>
      </w:r>
      <w:r>
        <w:rPr>
          <w:color w:val="231F20"/>
          <w:spacing w:val="-5"/>
          <w:w w:val="105"/>
        </w:rPr>
        <w:t>Mr. </w:t>
      </w:r>
      <w:r>
        <w:rPr>
          <w:color w:val="231F20"/>
          <w:spacing w:val="-4"/>
          <w:w w:val="105"/>
        </w:rPr>
        <w:t>Rotenberg’s </w:t>
      </w:r>
      <w:r>
        <w:rPr>
          <w:color w:val="231F20"/>
          <w:w w:val="105"/>
        </w:rPr>
        <w:t>experience, skills and qualifications, and believe he would be a </w:t>
      </w:r>
      <w:r>
        <w:rPr>
          <w:color w:val="231F20"/>
          <w:spacing w:val="-4"/>
          <w:w w:val="105"/>
        </w:rPr>
        <w:t>valuable </w:t>
      </w:r>
      <w:r>
        <w:rPr>
          <w:color w:val="231F20"/>
          <w:w w:val="105"/>
        </w:rPr>
        <w:t>addition to our Board. </w:t>
      </w:r>
      <w:r>
        <w:rPr>
          <w:color w:val="231F20"/>
          <w:spacing w:val="-5"/>
          <w:w w:val="105"/>
        </w:rPr>
        <w:t>Mr. </w:t>
      </w:r>
      <w:r>
        <w:rPr>
          <w:color w:val="231F20"/>
          <w:spacing w:val="-3"/>
          <w:w w:val="105"/>
        </w:rPr>
        <w:t>Rotenberg </w:t>
      </w:r>
      <w:r>
        <w:rPr>
          <w:color w:val="231F20"/>
          <w:w w:val="105"/>
        </w:rPr>
        <w:t>has served on the board of directors of other public companies and has significant business and financial experience and expertise.</w:t>
      </w:r>
    </w:p>
    <w:p>
      <w:pPr>
        <w:pStyle w:val="BodyText"/>
        <w:spacing w:line="237" w:lineRule="auto" w:before="159"/>
        <w:ind w:left="1090" w:right="1322" w:firstLine="399"/>
      </w:pPr>
      <w:r>
        <w:rPr>
          <w:color w:val="231F20"/>
          <w:w w:val="105"/>
        </w:rPr>
        <w:t>Mr. Rotenberg has consented to being named in this Proxy Statement and to serve if elected and has advised us that he has the qualifications and time required for the performance of his or her duties as a director, and that there are no legal restrictions preventing him or her from assuming such office.</w:t>
      </w:r>
    </w:p>
    <w:p>
      <w:pPr>
        <w:pStyle w:val="BodyText"/>
        <w:spacing w:before="7"/>
      </w:pPr>
    </w:p>
    <w:p>
      <w:pPr>
        <w:pStyle w:val="Heading2"/>
      </w:pPr>
      <w:r>
        <w:rPr>
          <w:color w:val="231F20"/>
        </w:rPr>
        <w:t>Director Nominee</w:t>
      </w:r>
    </w:p>
    <w:p>
      <w:pPr>
        <w:pStyle w:val="BodyText"/>
        <w:spacing w:line="237" w:lineRule="auto" w:before="171"/>
        <w:ind w:left="1090" w:right="1412" w:firstLine="399"/>
      </w:pPr>
      <w:r>
        <w:rPr>
          <w:i/>
          <w:color w:val="231F20"/>
          <w:w w:val="105"/>
        </w:rPr>
        <w:t>Mr. Nir Rotenberg </w:t>
      </w:r>
      <w:r>
        <w:rPr>
          <w:color w:val="231F20"/>
          <w:w w:val="105"/>
        </w:rPr>
        <w:t>is the Chairman of the Board of Danbar Finance Ltd., a private investment group, and has served there as a director and partner since 2000. Prior to that, he served as a manager and director of certain public companies in the Danbar group of companies from 1994 until 2000 and from 1990-1993 served as chief investment officer in Migdal Insurance Company. Mr. Rotenberg holds a M.B.A in business management and B.A in economics from Tel Aviv University.</w:t>
      </w:r>
    </w:p>
    <w:p>
      <w:pPr>
        <w:pStyle w:val="BodyText"/>
        <w:spacing w:before="158"/>
        <w:ind w:left="1090" w:right="1386" w:firstLine="399"/>
      </w:pPr>
      <w:r>
        <w:rPr>
          <w:color w:val="231F20"/>
          <w:w w:val="105"/>
        </w:rPr>
        <w:t>If elected </w:t>
      </w:r>
      <w:r>
        <w:rPr>
          <w:color w:val="231F20"/>
          <w:spacing w:val="-3"/>
          <w:w w:val="105"/>
        </w:rPr>
        <w:t>at </w:t>
      </w:r>
      <w:r>
        <w:rPr>
          <w:color w:val="231F20"/>
          <w:w w:val="105"/>
        </w:rPr>
        <w:t>the Meeting, </w:t>
      </w:r>
      <w:r>
        <w:rPr>
          <w:color w:val="231F20"/>
          <w:spacing w:val="-5"/>
          <w:w w:val="105"/>
        </w:rPr>
        <w:t>Mr. </w:t>
      </w:r>
      <w:r>
        <w:rPr>
          <w:color w:val="231F20"/>
          <w:spacing w:val="-3"/>
          <w:w w:val="105"/>
        </w:rPr>
        <w:t>Rotenberg </w:t>
      </w:r>
      <w:r>
        <w:rPr>
          <w:color w:val="231F20"/>
          <w:w w:val="105"/>
        </w:rPr>
        <w:t>will serve until the next </w:t>
      </w:r>
      <w:r>
        <w:rPr>
          <w:color w:val="231F20"/>
          <w:spacing w:val="-3"/>
          <w:w w:val="105"/>
        </w:rPr>
        <w:t>annual </w:t>
      </w:r>
      <w:r>
        <w:rPr>
          <w:color w:val="231F20"/>
          <w:w w:val="105"/>
        </w:rPr>
        <w:t>meeting of our shareholders and until his successor has been duly elected and qualified or until his office is vacated in accordance with our</w:t>
      </w:r>
      <w:r>
        <w:rPr>
          <w:color w:val="231F20"/>
          <w:spacing w:val="-8"/>
          <w:w w:val="105"/>
        </w:rPr>
        <w:t> </w:t>
      </w:r>
      <w:r>
        <w:rPr>
          <w:color w:val="231F20"/>
          <w:w w:val="105"/>
        </w:rPr>
        <w:t>Articles</w:t>
      </w:r>
      <w:r>
        <w:rPr>
          <w:color w:val="231F20"/>
          <w:spacing w:val="-8"/>
          <w:w w:val="105"/>
        </w:rPr>
        <w:t> </w:t>
      </w:r>
      <w:r>
        <w:rPr>
          <w:color w:val="231F20"/>
          <w:w w:val="105"/>
        </w:rPr>
        <w:t>of</w:t>
      </w:r>
      <w:r>
        <w:rPr>
          <w:color w:val="231F20"/>
          <w:spacing w:val="12"/>
          <w:w w:val="105"/>
        </w:rPr>
        <w:t> </w:t>
      </w:r>
      <w:r>
        <w:rPr>
          <w:color w:val="231F20"/>
          <w:w w:val="105"/>
        </w:rPr>
        <w:t>Association</w:t>
      </w:r>
      <w:r>
        <w:rPr>
          <w:color w:val="231F20"/>
          <w:spacing w:val="-8"/>
          <w:w w:val="105"/>
        </w:rPr>
        <w:t> </w:t>
      </w:r>
      <w:r>
        <w:rPr>
          <w:color w:val="231F20"/>
          <w:w w:val="105"/>
        </w:rPr>
        <w:t>or</w:t>
      </w:r>
      <w:r>
        <w:rPr>
          <w:color w:val="231F20"/>
          <w:spacing w:val="-7"/>
          <w:w w:val="105"/>
        </w:rPr>
        <w:t> </w:t>
      </w:r>
      <w:r>
        <w:rPr>
          <w:color w:val="231F20"/>
          <w:w w:val="105"/>
        </w:rPr>
        <w:t>the</w:t>
      </w:r>
      <w:r>
        <w:rPr>
          <w:color w:val="231F20"/>
          <w:spacing w:val="-8"/>
          <w:w w:val="105"/>
        </w:rPr>
        <w:t> </w:t>
      </w:r>
      <w:r>
        <w:rPr>
          <w:color w:val="231F20"/>
          <w:w w:val="105"/>
        </w:rPr>
        <w:t>Israel</w:t>
      </w:r>
      <w:r>
        <w:rPr>
          <w:color w:val="231F20"/>
          <w:spacing w:val="-7"/>
          <w:w w:val="105"/>
        </w:rPr>
        <w:t> </w:t>
      </w:r>
      <w:r>
        <w:rPr>
          <w:color w:val="231F20"/>
          <w:w w:val="105"/>
        </w:rPr>
        <w:t>Companies</w:t>
      </w:r>
      <w:r>
        <w:rPr>
          <w:color w:val="231F20"/>
          <w:spacing w:val="-8"/>
          <w:w w:val="105"/>
        </w:rPr>
        <w:t> </w:t>
      </w:r>
      <w:r>
        <w:rPr>
          <w:color w:val="231F20"/>
          <w:spacing w:val="-9"/>
          <w:w w:val="105"/>
        </w:rPr>
        <w:t>Law.</w:t>
      </w:r>
      <w:r>
        <w:rPr>
          <w:color w:val="231F20"/>
          <w:spacing w:val="-7"/>
          <w:w w:val="105"/>
        </w:rPr>
        <w:t> </w:t>
      </w:r>
      <w:r>
        <w:rPr>
          <w:color w:val="231F20"/>
          <w:w w:val="105"/>
        </w:rPr>
        <w:t>Please</w:t>
      </w:r>
      <w:r>
        <w:rPr>
          <w:color w:val="231F20"/>
          <w:spacing w:val="-8"/>
          <w:w w:val="105"/>
        </w:rPr>
        <w:t> </w:t>
      </w:r>
      <w:r>
        <w:rPr>
          <w:color w:val="231F20"/>
          <w:w w:val="105"/>
        </w:rPr>
        <w:t>see</w:t>
      </w:r>
      <w:r>
        <w:rPr>
          <w:color w:val="231F20"/>
          <w:spacing w:val="-8"/>
          <w:w w:val="105"/>
        </w:rPr>
        <w:t> </w:t>
      </w:r>
      <w:r>
        <w:rPr>
          <w:color w:val="231F20"/>
          <w:w w:val="105"/>
        </w:rPr>
        <w:t>Proposal</w:t>
      </w:r>
      <w:r>
        <w:rPr>
          <w:color w:val="231F20"/>
          <w:spacing w:val="-7"/>
          <w:w w:val="105"/>
        </w:rPr>
        <w:t> </w:t>
      </w:r>
      <w:r>
        <w:rPr>
          <w:color w:val="231F20"/>
          <w:w w:val="105"/>
        </w:rPr>
        <w:t>2</w:t>
      </w:r>
      <w:r>
        <w:rPr>
          <w:color w:val="231F20"/>
          <w:spacing w:val="-8"/>
          <w:w w:val="105"/>
        </w:rPr>
        <w:t> </w:t>
      </w:r>
      <w:r>
        <w:rPr>
          <w:color w:val="231F20"/>
          <w:spacing w:val="-4"/>
          <w:w w:val="105"/>
        </w:rPr>
        <w:t>above</w:t>
      </w:r>
      <w:r>
        <w:rPr>
          <w:color w:val="231F20"/>
          <w:spacing w:val="-7"/>
          <w:w w:val="105"/>
        </w:rPr>
        <w:t> </w:t>
      </w:r>
      <w:r>
        <w:rPr>
          <w:color w:val="231F20"/>
          <w:spacing w:val="-3"/>
          <w:w w:val="105"/>
        </w:rPr>
        <w:t>for</w:t>
      </w:r>
      <w:r>
        <w:rPr>
          <w:color w:val="231F20"/>
          <w:spacing w:val="-8"/>
          <w:w w:val="105"/>
        </w:rPr>
        <w:t> </w:t>
      </w:r>
      <w:r>
        <w:rPr>
          <w:color w:val="231F20"/>
          <w:w w:val="105"/>
        </w:rPr>
        <w:t>a</w:t>
      </w:r>
      <w:r>
        <w:rPr>
          <w:color w:val="231F20"/>
          <w:spacing w:val="-8"/>
          <w:w w:val="105"/>
        </w:rPr>
        <w:t> </w:t>
      </w:r>
      <w:r>
        <w:rPr>
          <w:color w:val="231F20"/>
          <w:w w:val="105"/>
        </w:rPr>
        <w:t>discussion</w:t>
      </w:r>
      <w:r>
        <w:rPr>
          <w:color w:val="231F20"/>
          <w:spacing w:val="-7"/>
          <w:w w:val="105"/>
        </w:rPr>
        <w:t> </w:t>
      </w:r>
      <w:r>
        <w:rPr>
          <w:color w:val="231F20"/>
          <w:w w:val="105"/>
        </w:rPr>
        <w:t>of</w:t>
      </w:r>
      <w:r>
        <w:rPr>
          <w:color w:val="231F20"/>
          <w:spacing w:val="12"/>
          <w:w w:val="105"/>
        </w:rPr>
        <w:t> </w:t>
      </w:r>
      <w:r>
        <w:rPr>
          <w:color w:val="231F20"/>
          <w:spacing w:val="-3"/>
          <w:w w:val="105"/>
        </w:rPr>
        <w:t>what would </w:t>
      </w:r>
      <w:r>
        <w:rPr>
          <w:color w:val="231F20"/>
          <w:w w:val="105"/>
        </w:rPr>
        <w:t>occur if </w:t>
      </w:r>
      <w:r>
        <w:rPr>
          <w:color w:val="231F20"/>
          <w:spacing w:val="-3"/>
          <w:w w:val="105"/>
        </w:rPr>
        <w:t>Proposal </w:t>
      </w:r>
      <w:r>
        <w:rPr>
          <w:color w:val="231F20"/>
          <w:w w:val="105"/>
        </w:rPr>
        <w:t>1 </w:t>
      </w:r>
      <w:r>
        <w:rPr>
          <w:color w:val="231F20"/>
          <w:spacing w:val="-5"/>
          <w:w w:val="105"/>
        </w:rPr>
        <w:t>(approval </w:t>
      </w:r>
      <w:r>
        <w:rPr>
          <w:color w:val="231F20"/>
          <w:w w:val="105"/>
        </w:rPr>
        <w:t>of the amendment of our Articles) is not </w:t>
      </w:r>
      <w:r>
        <w:rPr>
          <w:color w:val="231F20"/>
          <w:spacing w:val="-4"/>
          <w:w w:val="105"/>
        </w:rPr>
        <w:t>approved </w:t>
      </w:r>
      <w:r>
        <w:rPr>
          <w:color w:val="231F20"/>
          <w:w w:val="105"/>
        </w:rPr>
        <w:t>and </w:t>
      </w:r>
      <w:r>
        <w:rPr>
          <w:color w:val="231F20"/>
          <w:spacing w:val="-4"/>
          <w:w w:val="105"/>
        </w:rPr>
        <w:t>all </w:t>
      </w:r>
      <w:r>
        <w:rPr>
          <w:color w:val="231F20"/>
          <w:w w:val="105"/>
        </w:rPr>
        <w:t>of the director- nominees are elected </w:t>
      </w:r>
      <w:r>
        <w:rPr>
          <w:color w:val="231F20"/>
          <w:spacing w:val="-3"/>
          <w:w w:val="105"/>
        </w:rPr>
        <w:t>at </w:t>
      </w:r>
      <w:r>
        <w:rPr>
          <w:color w:val="231F20"/>
          <w:w w:val="105"/>
        </w:rPr>
        <w:t>the</w:t>
      </w:r>
      <w:r>
        <w:rPr>
          <w:color w:val="231F20"/>
          <w:spacing w:val="-15"/>
          <w:w w:val="105"/>
        </w:rPr>
        <w:t> </w:t>
      </w:r>
      <w:r>
        <w:rPr>
          <w:color w:val="231F20"/>
          <w:w w:val="105"/>
        </w:rPr>
        <w:t>Meeting.</w:t>
      </w:r>
    </w:p>
    <w:p>
      <w:pPr>
        <w:pStyle w:val="BodyText"/>
        <w:spacing w:before="7"/>
      </w:pPr>
    </w:p>
    <w:p>
      <w:pPr>
        <w:pStyle w:val="Heading2"/>
      </w:pPr>
      <w:r>
        <w:rPr>
          <w:color w:val="231F20"/>
        </w:rPr>
        <w:t>Proposed Resolution</w:t>
      </w:r>
    </w:p>
    <w:p>
      <w:pPr>
        <w:pStyle w:val="BodyText"/>
        <w:spacing w:before="169"/>
        <w:ind w:left="1489"/>
      </w:pPr>
      <w:r>
        <w:rPr>
          <w:color w:val="231F20"/>
          <w:w w:val="110"/>
        </w:rPr>
        <w:t>You are requested to adopt the following resolution:</w:t>
      </w:r>
    </w:p>
    <w:p>
      <w:pPr>
        <w:spacing w:after="0"/>
        <w:sectPr>
          <w:pgSz w:w="11880" w:h="15480"/>
          <w:pgMar w:header="0" w:footer="664" w:top="940" w:bottom="860" w:left="300" w:right="0"/>
        </w:sectPr>
      </w:pPr>
    </w:p>
    <w:p>
      <w:pPr>
        <w:pStyle w:val="BodyText"/>
        <w:spacing w:line="256" w:lineRule="auto" w:before="87"/>
        <w:ind w:left="1090" w:right="1553" w:firstLine="399"/>
      </w:pPr>
      <w:r>
        <w:rPr>
          <w:color w:val="231F20"/>
          <w:w w:val="105"/>
        </w:rPr>
        <w:t>“4. “RESOLVED, that Mr. Nir Rotenberg be elected as a director, to serve until the next annual meeting of shareholders”.</w:t>
      </w:r>
    </w:p>
    <w:p>
      <w:pPr>
        <w:pStyle w:val="BodyText"/>
        <w:spacing w:before="8"/>
      </w:pPr>
    </w:p>
    <w:p>
      <w:pPr>
        <w:pStyle w:val="Heading2"/>
      </w:pPr>
      <w:r>
        <w:rPr>
          <w:color w:val="231F20"/>
        </w:rPr>
        <w:t>Vote Required</w:t>
      </w:r>
    </w:p>
    <w:p>
      <w:pPr>
        <w:pStyle w:val="BodyText"/>
        <w:spacing w:before="170"/>
        <w:ind w:left="1489"/>
      </w:pPr>
      <w:r>
        <w:rPr>
          <w:color w:val="231F20"/>
          <w:w w:val="105"/>
        </w:rPr>
        <w:t>The affirmative vote of an Ordinary Majority is required to adopt the resolution.</w:t>
      </w:r>
    </w:p>
    <w:p>
      <w:pPr>
        <w:pStyle w:val="BodyText"/>
        <w:spacing w:before="11"/>
        <w:rPr>
          <w:sz w:val="21"/>
        </w:rPr>
      </w:pPr>
    </w:p>
    <w:p>
      <w:pPr>
        <w:pStyle w:val="Heading2"/>
      </w:pPr>
      <w:r>
        <w:rPr>
          <w:color w:val="231F20"/>
        </w:rPr>
        <w:t>Board Recommendation</w:t>
      </w:r>
    </w:p>
    <w:p>
      <w:pPr>
        <w:pStyle w:val="BodyText"/>
        <w:spacing w:line="254" w:lineRule="auto" w:before="169"/>
        <w:ind w:left="1090" w:right="1705" w:firstLine="399"/>
      </w:pPr>
      <w:r>
        <w:rPr>
          <w:color w:val="231F20"/>
          <w:w w:val="110"/>
        </w:rPr>
        <w:t>THE</w:t>
      </w:r>
      <w:r>
        <w:rPr>
          <w:color w:val="231F20"/>
          <w:spacing w:val="-13"/>
          <w:w w:val="110"/>
        </w:rPr>
        <w:t> </w:t>
      </w:r>
      <w:r>
        <w:rPr>
          <w:color w:val="231F20"/>
          <w:w w:val="110"/>
        </w:rPr>
        <w:t>BOARD</w:t>
      </w:r>
      <w:r>
        <w:rPr>
          <w:color w:val="231F20"/>
          <w:spacing w:val="-12"/>
          <w:w w:val="110"/>
        </w:rPr>
        <w:t> </w:t>
      </w:r>
      <w:r>
        <w:rPr>
          <w:color w:val="231F20"/>
          <w:w w:val="110"/>
        </w:rPr>
        <w:t>OF</w:t>
      </w:r>
      <w:r>
        <w:rPr>
          <w:color w:val="231F20"/>
          <w:spacing w:val="-12"/>
          <w:w w:val="110"/>
        </w:rPr>
        <w:t> </w:t>
      </w:r>
      <w:r>
        <w:rPr>
          <w:color w:val="231F20"/>
          <w:w w:val="110"/>
        </w:rPr>
        <w:t>DIRECTORS</w:t>
      </w:r>
      <w:r>
        <w:rPr>
          <w:color w:val="231F20"/>
          <w:spacing w:val="-12"/>
          <w:w w:val="110"/>
        </w:rPr>
        <w:t> </w:t>
      </w:r>
      <w:r>
        <w:rPr>
          <w:color w:val="231F20"/>
          <w:w w:val="110"/>
        </w:rPr>
        <w:t>RECOMMENDS</w:t>
      </w:r>
      <w:r>
        <w:rPr>
          <w:color w:val="231F20"/>
          <w:spacing w:val="-12"/>
          <w:w w:val="110"/>
        </w:rPr>
        <w:t> </w:t>
      </w:r>
      <w:r>
        <w:rPr>
          <w:color w:val="231F20"/>
          <w:w w:val="110"/>
        </w:rPr>
        <w:t>A</w:t>
      </w:r>
      <w:r>
        <w:rPr>
          <w:color w:val="231F20"/>
          <w:spacing w:val="-12"/>
          <w:w w:val="110"/>
        </w:rPr>
        <w:t> </w:t>
      </w:r>
      <w:r>
        <w:rPr>
          <w:color w:val="231F20"/>
          <w:spacing w:val="-4"/>
          <w:w w:val="110"/>
        </w:rPr>
        <w:t>VOTE</w:t>
      </w:r>
      <w:r>
        <w:rPr>
          <w:color w:val="231F20"/>
          <w:spacing w:val="-12"/>
          <w:w w:val="110"/>
        </w:rPr>
        <w:t> </w:t>
      </w:r>
      <w:r>
        <w:rPr>
          <w:color w:val="231F20"/>
          <w:w w:val="110"/>
        </w:rPr>
        <w:t>“</w:t>
      </w:r>
      <w:r>
        <w:rPr>
          <w:b/>
          <w:color w:val="231F20"/>
          <w:w w:val="110"/>
        </w:rPr>
        <w:t>FOR</w:t>
      </w:r>
      <w:r>
        <w:rPr>
          <w:color w:val="231F20"/>
          <w:w w:val="110"/>
        </w:rPr>
        <w:t>”</w:t>
      </w:r>
      <w:r>
        <w:rPr>
          <w:color w:val="231F20"/>
          <w:spacing w:val="-22"/>
          <w:w w:val="110"/>
        </w:rPr>
        <w:t> </w:t>
      </w:r>
      <w:r>
        <w:rPr>
          <w:color w:val="231F20"/>
          <w:w w:val="110"/>
        </w:rPr>
        <w:t>THE</w:t>
      </w:r>
      <w:r>
        <w:rPr>
          <w:color w:val="231F20"/>
          <w:spacing w:val="-12"/>
          <w:w w:val="110"/>
        </w:rPr>
        <w:t> </w:t>
      </w:r>
      <w:r>
        <w:rPr>
          <w:color w:val="231F20"/>
          <w:w w:val="110"/>
        </w:rPr>
        <w:t>ADOPTION</w:t>
      </w:r>
      <w:r>
        <w:rPr>
          <w:color w:val="231F20"/>
          <w:spacing w:val="-12"/>
          <w:w w:val="110"/>
        </w:rPr>
        <w:t> </w:t>
      </w:r>
      <w:r>
        <w:rPr>
          <w:color w:val="231F20"/>
          <w:w w:val="110"/>
        </w:rPr>
        <w:t>OF</w:t>
      </w:r>
      <w:r>
        <w:rPr>
          <w:color w:val="231F20"/>
          <w:spacing w:val="-12"/>
          <w:w w:val="110"/>
        </w:rPr>
        <w:t> </w:t>
      </w:r>
      <w:r>
        <w:rPr>
          <w:color w:val="231F20"/>
          <w:w w:val="110"/>
        </w:rPr>
        <w:t>THE FOREGOING</w:t>
      </w:r>
      <w:r>
        <w:rPr>
          <w:color w:val="231F20"/>
          <w:spacing w:val="-6"/>
          <w:w w:val="110"/>
        </w:rPr>
        <w:t> </w:t>
      </w:r>
      <w:r>
        <w:rPr>
          <w:color w:val="231F20"/>
          <w:spacing w:val="-3"/>
          <w:w w:val="110"/>
        </w:rPr>
        <w:t>RESOLUTION.</w:t>
      </w:r>
    </w:p>
    <w:p>
      <w:pPr>
        <w:pStyle w:val="BodyText"/>
        <w:spacing w:before="8"/>
        <w:rPr>
          <w:sz w:val="11"/>
        </w:rPr>
      </w:pPr>
    </w:p>
    <w:p>
      <w:pPr>
        <w:spacing w:before="105"/>
        <w:ind w:left="1720" w:right="2017" w:firstLine="0"/>
        <w:jc w:val="center"/>
        <w:rPr>
          <w:b/>
          <w:sz w:val="20"/>
        </w:rPr>
      </w:pPr>
      <w:r>
        <w:rPr>
          <w:b/>
          <w:color w:val="231F20"/>
          <w:sz w:val="20"/>
          <w:u w:val="single" w:color="231F20"/>
        </w:rPr>
        <w:t>PROPOSAL 5</w:t>
      </w:r>
    </w:p>
    <w:p>
      <w:pPr>
        <w:spacing w:before="133"/>
        <w:ind w:left="0" w:right="295" w:firstLine="0"/>
        <w:jc w:val="center"/>
        <w:rPr>
          <w:b/>
          <w:sz w:val="20"/>
        </w:rPr>
      </w:pPr>
      <w:r>
        <w:rPr>
          <w:b/>
          <w:color w:val="231F20"/>
          <w:sz w:val="20"/>
        </w:rPr>
        <w:t>APPROVAL OF THE COMPANY’S COMPENSATION POLICY FOR OFFICERS AND DIRECTORS</w:t>
      </w:r>
    </w:p>
    <w:p>
      <w:pPr>
        <w:pStyle w:val="BodyText"/>
        <w:spacing w:before="7"/>
        <w:rPr>
          <w:b/>
          <w:sz w:val="21"/>
        </w:rPr>
      </w:pPr>
    </w:p>
    <w:p>
      <w:pPr>
        <w:pStyle w:val="Heading2"/>
      </w:pPr>
      <w:r>
        <w:rPr>
          <w:color w:val="231F20"/>
        </w:rPr>
        <w:t>Background</w:t>
      </w:r>
    </w:p>
    <w:p>
      <w:pPr>
        <w:pStyle w:val="BodyText"/>
        <w:spacing w:line="254" w:lineRule="auto" w:before="169"/>
        <w:ind w:left="1090" w:right="1386" w:firstLine="399"/>
      </w:pPr>
      <w:r>
        <w:rPr>
          <w:color w:val="231F20"/>
          <w:w w:val="105"/>
        </w:rPr>
        <w:t>On September 21, 2020, our shareholders </w:t>
      </w:r>
      <w:r>
        <w:rPr>
          <w:color w:val="231F20"/>
          <w:spacing w:val="-3"/>
          <w:w w:val="105"/>
        </w:rPr>
        <w:t>approved </w:t>
      </w:r>
      <w:r>
        <w:rPr>
          <w:color w:val="231F20"/>
          <w:w w:val="105"/>
        </w:rPr>
        <w:t>our Compensation Policy </w:t>
      </w:r>
      <w:r>
        <w:rPr>
          <w:color w:val="231F20"/>
          <w:spacing w:val="-3"/>
          <w:w w:val="105"/>
        </w:rPr>
        <w:t>for </w:t>
      </w:r>
      <w:r>
        <w:rPr>
          <w:color w:val="231F20"/>
          <w:w w:val="105"/>
        </w:rPr>
        <w:t>directors and officers, and</w:t>
      </w:r>
      <w:r>
        <w:rPr>
          <w:color w:val="231F20"/>
          <w:spacing w:val="-7"/>
          <w:w w:val="105"/>
        </w:rPr>
        <w:t> </w:t>
      </w:r>
      <w:r>
        <w:rPr>
          <w:color w:val="231F20"/>
          <w:spacing w:val="-3"/>
          <w:w w:val="105"/>
        </w:rPr>
        <w:t>approved</w:t>
      </w:r>
      <w:r>
        <w:rPr>
          <w:color w:val="231F20"/>
          <w:spacing w:val="-6"/>
          <w:w w:val="105"/>
        </w:rPr>
        <w:t> </w:t>
      </w:r>
      <w:r>
        <w:rPr>
          <w:color w:val="231F20"/>
          <w:w w:val="105"/>
        </w:rPr>
        <w:t>amendments</w:t>
      </w:r>
      <w:r>
        <w:rPr>
          <w:color w:val="231F20"/>
          <w:spacing w:val="-7"/>
          <w:w w:val="105"/>
        </w:rPr>
        <w:t> </w:t>
      </w:r>
      <w:r>
        <w:rPr>
          <w:color w:val="231F20"/>
          <w:w w:val="105"/>
        </w:rPr>
        <w:t>thereto</w:t>
      </w:r>
      <w:r>
        <w:rPr>
          <w:color w:val="231F20"/>
          <w:spacing w:val="-6"/>
          <w:w w:val="105"/>
        </w:rPr>
        <w:t> </w:t>
      </w:r>
      <w:r>
        <w:rPr>
          <w:color w:val="231F20"/>
          <w:spacing w:val="-3"/>
          <w:w w:val="105"/>
        </w:rPr>
        <w:t>at</w:t>
      </w:r>
      <w:r>
        <w:rPr>
          <w:color w:val="231F20"/>
          <w:spacing w:val="-7"/>
          <w:w w:val="105"/>
        </w:rPr>
        <w:t> </w:t>
      </w:r>
      <w:r>
        <w:rPr>
          <w:color w:val="231F20"/>
          <w:w w:val="105"/>
        </w:rPr>
        <w:t>the</w:t>
      </w:r>
      <w:r>
        <w:rPr>
          <w:color w:val="231F20"/>
          <w:spacing w:val="-6"/>
          <w:w w:val="105"/>
        </w:rPr>
        <w:t> </w:t>
      </w:r>
      <w:r>
        <w:rPr>
          <w:color w:val="231F20"/>
          <w:w w:val="105"/>
        </w:rPr>
        <w:t>special</w:t>
      </w:r>
      <w:r>
        <w:rPr>
          <w:color w:val="231F20"/>
          <w:spacing w:val="-7"/>
          <w:w w:val="105"/>
        </w:rPr>
        <w:t> </w:t>
      </w:r>
      <w:r>
        <w:rPr>
          <w:color w:val="231F20"/>
          <w:w w:val="105"/>
        </w:rPr>
        <w:t>general</w:t>
      </w:r>
      <w:r>
        <w:rPr>
          <w:color w:val="231F20"/>
          <w:spacing w:val="-6"/>
          <w:w w:val="105"/>
        </w:rPr>
        <w:t> </w:t>
      </w:r>
      <w:r>
        <w:rPr>
          <w:color w:val="231F20"/>
          <w:w w:val="105"/>
        </w:rPr>
        <w:t>meetings</w:t>
      </w:r>
      <w:r>
        <w:rPr>
          <w:color w:val="231F20"/>
          <w:spacing w:val="-7"/>
          <w:w w:val="105"/>
        </w:rPr>
        <w:t> </w:t>
      </w:r>
      <w:r>
        <w:rPr>
          <w:color w:val="231F20"/>
          <w:w w:val="105"/>
        </w:rPr>
        <w:t>of</w:t>
      </w:r>
      <w:r>
        <w:rPr>
          <w:color w:val="231F20"/>
          <w:spacing w:val="14"/>
          <w:w w:val="105"/>
        </w:rPr>
        <w:t> </w:t>
      </w:r>
      <w:r>
        <w:rPr>
          <w:color w:val="231F20"/>
          <w:w w:val="105"/>
        </w:rPr>
        <w:t>our</w:t>
      </w:r>
      <w:r>
        <w:rPr>
          <w:color w:val="231F20"/>
          <w:spacing w:val="-6"/>
          <w:w w:val="105"/>
        </w:rPr>
        <w:t> </w:t>
      </w:r>
      <w:r>
        <w:rPr>
          <w:color w:val="231F20"/>
          <w:w w:val="105"/>
        </w:rPr>
        <w:t>shareholders</w:t>
      </w:r>
      <w:r>
        <w:rPr>
          <w:color w:val="231F20"/>
          <w:spacing w:val="-7"/>
          <w:w w:val="105"/>
        </w:rPr>
        <w:t> </w:t>
      </w:r>
      <w:r>
        <w:rPr>
          <w:color w:val="231F20"/>
          <w:w w:val="105"/>
        </w:rPr>
        <w:t>held</w:t>
      </w:r>
      <w:r>
        <w:rPr>
          <w:color w:val="231F20"/>
          <w:spacing w:val="-6"/>
          <w:w w:val="105"/>
        </w:rPr>
        <w:t> </w:t>
      </w:r>
      <w:r>
        <w:rPr>
          <w:color w:val="231F20"/>
          <w:w w:val="105"/>
        </w:rPr>
        <w:t>on</w:t>
      </w:r>
      <w:r>
        <w:rPr>
          <w:color w:val="231F20"/>
          <w:spacing w:val="-7"/>
          <w:w w:val="105"/>
        </w:rPr>
        <w:t> </w:t>
      </w:r>
      <w:r>
        <w:rPr>
          <w:color w:val="231F20"/>
          <w:w w:val="105"/>
        </w:rPr>
        <w:t>March</w:t>
      </w:r>
      <w:r>
        <w:rPr>
          <w:color w:val="231F20"/>
          <w:spacing w:val="-6"/>
          <w:w w:val="105"/>
        </w:rPr>
        <w:t> </w:t>
      </w:r>
      <w:r>
        <w:rPr>
          <w:color w:val="231F20"/>
          <w:w w:val="105"/>
        </w:rPr>
        <w:t>1,</w:t>
      </w:r>
      <w:r>
        <w:rPr>
          <w:color w:val="231F20"/>
          <w:spacing w:val="-7"/>
          <w:w w:val="105"/>
        </w:rPr>
        <w:t> </w:t>
      </w:r>
      <w:r>
        <w:rPr>
          <w:color w:val="231F20"/>
          <w:w w:val="105"/>
        </w:rPr>
        <w:t>2021, and August 11, 2022. </w:t>
      </w:r>
      <w:r>
        <w:rPr>
          <w:color w:val="231F20"/>
          <w:spacing w:val="-4"/>
          <w:w w:val="105"/>
        </w:rPr>
        <w:t>Recently, </w:t>
      </w:r>
      <w:r>
        <w:rPr>
          <w:color w:val="231F20"/>
          <w:w w:val="105"/>
        </w:rPr>
        <w:t>our compensation committee and Board </w:t>
      </w:r>
      <w:r>
        <w:rPr>
          <w:color w:val="231F20"/>
          <w:spacing w:val="-3"/>
          <w:w w:val="105"/>
        </w:rPr>
        <w:t>approved, </w:t>
      </w:r>
      <w:r>
        <w:rPr>
          <w:color w:val="231F20"/>
          <w:w w:val="105"/>
        </w:rPr>
        <w:t>subject to shareholder </w:t>
      </w:r>
      <w:r>
        <w:rPr>
          <w:color w:val="231F20"/>
          <w:spacing w:val="-4"/>
          <w:w w:val="105"/>
        </w:rPr>
        <w:t>approval, </w:t>
      </w:r>
      <w:r>
        <w:rPr>
          <w:color w:val="231F20"/>
          <w:w w:val="105"/>
        </w:rPr>
        <w:t>the </w:t>
      </w:r>
      <w:r>
        <w:rPr>
          <w:color w:val="231F20"/>
          <w:spacing w:val="-4"/>
          <w:w w:val="105"/>
        </w:rPr>
        <w:t>approval </w:t>
      </w:r>
      <w:r>
        <w:rPr>
          <w:color w:val="231F20"/>
          <w:w w:val="105"/>
        </w:rPr>
        <w:t>of our Compensation Policy </w:t>
      </w:r>
      <w:r>
        <w:rPr>
          <w:color w:val="231F20"/>
          <w:spacing w:val="-3"/>
          <w:w w:val="105"/>
        </w:rPr>
        <w:t>for </w:t>
      </w:r>
      <w:r>
        <w:rPr>
          <w:color w:val="231F20"/>
          <w:w w:val="105"/>
        </w:rPr>
        <w:t>an additional period of three years from the date of the Meeting, with certain changes thereto to include the adoption of a separate “clawback policy” attached as Annex A to the Compensation </w:t>
      </w:r>
      <w:r>
        <w:rPr>
          <w:color w:val="231F20"/>
          <w:spacing w:val="-5"/>
          <w:w w:val="105"/>
        </w:rPr>
        <w:t>Policy. </w:t>
      </w:r>
      <w:r>
        <w:rPr>
          <w:color w:val="231F20"/>
          <w:w w:val="105"/>
        </w:rPr>
        <w:t>The </w:t>
      </w:r>
      <w:r>
        <w:rPr>
          <w:color w:val="231F20"/>
          <w:spacing w:val="-3"/>
          <w:w w:val="105"/>
        </w:rPr>
        <w:t>clawback </w:t>
      </w:r>
      <w:r>
        <w:rPr>
          <w:color w:val="231F20"/>
          <w:w w:val="105"/>
        </w:rPr>
        <w:t>policy would require the return of incentive compensation paid to executive officers in the case of certain restatements of the </w:t>
      </w:r>
      <w:r>
        <w:rPr>
          <w:color w:val="231F20"/>
          <w:spacing w:val="-3"/>
          <w:w w:val="105"/>
        </w:rPr>
        <w:t>Company’s </w:t>
      </w:r>
      <w:r>
        <w:rPr>
          <w:color w:val="231F20"/>
          <w:w w:val="105"/>
        </w:rPr>
        <w:t>financial statements under the terms and conditions required by the Nasdaq Stock Market. On February 22, 2023, Nasdaq proposed listing rules mandating that companies with listed securities adopt </w:t>
      </w:r>
      <w:r>
        <w:rPr>
          <w:color w:val="231F20"/>
          <w:spacing w:val="-3"/>
          <w:w w:val="105"/>
        </w:rPr>
        <w:t>clawback </w:t>
      </w:r>
      <w:r>
        <w:rPr>
          <w:color w:val="231F20"/>
          <w:w w:val="105"/>
        </w:rPr>
        <w:t>policies in response to </w:t>
      </w:r>
      <w:r>
        <w:rPr>
          <w:color w:val="231F20"/>
          <w:spacing w:val="-4"/>
          <w:w w:val="105"/>
        </w:rPr>
        <w:t>Rule </w:t>
      </w:r>
      <w:r>
        <w:rPr>
          <w:color w:val="231F20"/>
          <w:w w:val="105"/>
        </w:rPr>
        <w:t>10D-1 under the </w:t>
      </w:r>
      <w:r>
        <w:rPr>
          <w:color w:val="231F20"/>
          <w:spacing w:val="-7"/>
          <w:w w:val="105"/>
        </w:rPr>
        <w:t>U.S. </w:t>
      </w:r>
      <w:r>
        <w:rPr>
          <w:color w:val="231F20"/>
          <w:w w:val="105"/>
        </w:rPr>
        <w:t>Securities and Exchange Act of 1934, as amended. The proposed </w:t>
      </w:r>
      <w:r>
        <w:rPr>
          <w:color w:val="231F20"/>
          <w:spacing w:val="-3"/>
          <w:w w:val="105"/>
        </w:rPr>
        <w:t>clawback </w:t>
      </w:r>
      <w:r>
        <w:rPr>
          <w:color w:val="231F20"/>
          <w:w w:val="105"/>
        </w:rPr>
        <w:t>policy would comply with the requirements of</w:t>
      </w:r>
      <w:r>
        <w:rPr>
          <w:color w:val="231F20"/>
          <w:spacing w:val="-3"/>
          <w:w w:val="105"/>
        </w:rPr>
        <w:t> </w:t>
      </w:r>
      <w:r>
        <w:rPr>
          <w:color w:val="231F20"/>
          <w:w w:val="105"/>
        </w:rPr>
        <w:t>Nasdaq.</w:t>
      </w:r>
    </w:p>
    <w:p>
      <w:pPr>
        <w:pStyle w:val="BodyText"/>
        <w:spacing w:line="254" w:lineRule="auto" w:before="156"/>
        <w:ind w:left="1090" w:right="1623" w:firstLine="399"/>
      </w:pPr>
      <w:r>
        <w:rPr>
          <w:color w:val="231F20"/>
          <w:w w:val="110"/>
        </w:rPr>
        <w:t>Aside</w:t>
      </w:r>
      <w:r>
        <w:rPr>
          <w:color w:val="231F20"/>
          <w:spacing w:val="-24"/>
          <w:w w:val="110"/>
        </w:rPr>
        <w:t> </w:t>
      </w:r>
      <w:r>
        <w:rPr>
          <w:color w:val="231F20"/>
          <w:w w:val="110"/>
        </w:rPr>
        <w:t>from</w:t>
      </w:r>
      <w:r>
        <w:rPr>
          <w:color w:val="231F20"/>
          <w:spacing w:val="-23"/>
          <w:w w:val="110"/>
        </w:rPr>
        <w:t> </w:t>
      </w:r>
      <w:r>
        <w:rPr>
          <w:color w:val="231F20"/>
          <w:w w:val="110"/>
        </w:rPr>
        <w:t>the</w:t>
      </w:r>
      <w:r>
        <w:rPr>
          <w:color w:val="231F20"/>
          <w:spacing w:val="-23"/>
          <w:w w:val="110"/>
        </w:rPr>
        <w:t> </w:t>
      </w:r>
      <w:r>
        <w:rPr>
          <w:color w:val="231F20"/>
          <w:w w:val="110"/>
        </w:rPr>
        <w:t>proposed</w:t>
      </w:r>
      <w:r>
        <w:rPr>
          <w:color w:val="231F20"/>
          <w:spacing w:val="-23"/>
          <w:w w:val="110"/>
        </w:rPr>
        <w:t> </w:t>
      </w:r>
      <w:r>
        <w:rPr>
          <w:color w:val="231F20"/>
          <w:w w:val="110"/>
        </w:rPr>
        <w:t>change,</w:t>
      </w:r>
      <w:r>
        <w:rPr>
          <w:color w:val="231F20"/>
          <w:spacing w:val="-23"/>
          <w:w w:val="110"/>
        </w:rPr>
        <w:t> </w:t>
      </w:r>
      <w:r>
        <w:rPr>
          <w:color w:val="231F20"/>
          <w:w w:val="110"/>
        </w:rPr>
        <w:t>our</w:t>
      </w:r>
      <w:r>
        <w:rPr>
          <w:color w:val="231F20"/>
          <w:spacing w:val="-23"/>
          <w:w w:val="110"/>
        </w:rPr>
        <w:t> </w:t>
      </w:r>
      <w:r>
        <w:rPr>
          <w:color w:val="231F20"/>
          <w:w w:val="110"/>
        </w:rPr>
        <w:t>compensation</w:t>
      </w:r>
      <w:r>
        <w:rPr>
          <w:color w:val="231F20"/>
          <w:spacing w:val="-23"/>
          <w:w w:val="110"/>
        </w:rPr>
        <w:t> </w:t>
      </w:r>
      <w:r>
        <w:rPr>
          <w:color w:val="231F20"/>
          <w:w w:val="110"/>
        </w:rPr>
        <w:t>committee</w:t>
      </w:r>
      <w:r>
        <w:rPr>
          <w:color w:val="231F20"/>
          <w:spacing w:val="-23"/>
          <w:w w:val="110"/>
        </w:rPr>
        <w:t> </w:t>
      </w:r>
      <w:r>
        <w:rPr>
          <w:color w:val="231F20"/>
          <w:w w:val="110"/>
        </w:rPr>
        <w:t>and</w:t>
      </w:r>
      <w:r>
        <w:rPr>
          <w:color w:val="231F20"/>
          <w:spacing w:val="-23"/>
          <w:w w:val="110"/>
        </w:rPr>
        <w:t> </w:t>
      </w:r>
      <w:r>
        <w:rPr>
          <w:color w:val="231F20"/>
          <w:w w:val="110"/>
        </w:rPr>
        <w:t>Board</w:t>
      </w:r>
      <w:r>
        <w:rPr>
          <w:color w:val="231F20"/>
          <w:spacing w:val="-23"/>
          <w:w w:val="110"/>
        </w:rPr>
        <w:t> </w:t>
      </w:r>
      <w:r>
        <w:rPr>
          <w:color w:val="231F20"/>
          <w:w w:val="110"/>
        </w:rPr>
        <w:t>did</w:t>
      </w:r>
      <w:r>
        <w:rPr>
          <w:color w:val="231F20"/>
          <w:spacing w:val="-23"/>
          <w:w w:val="110"/>
        </w:rPr>
        <w:t> </w:t>
      </w:r>
      <w:r>
        <w:rPr>
          <w:color w:val="231F20"/>
          <w:w w:val="110"/>
        </w:rPr>
        <w:t>not</w:t>
      </w:r>
      <w:r>
        <w:rPr>
          <w:color w:val="231F20"/>
          <w:spacing w:val="-23"/>
          <w:w w:val="110"/>
        </w:rPr>
        <w:t> </w:t>
      </w:r>
      <w:r>
        <w:rPr>
          <w:color w:val="231F20"/>
          <w:w w:val="110"/>
        </w:rPr>
        <w:t>identify</w:t>
      </w:r>
      <w:r>
        <w:rPr>
          <w:color w:val="231F20"/>
          <w:spacing w:val="-23"/>
          <w:w w:val="110"/>
        </w:rPr>
        <w:t> </w:t>
      </w:r>
      <w:r>
        <w:rPr>
          <w:color w:val="231F20"/>
          <w:spacing w:val="-3"/>
          <w:w w:val="110"/>
        </w:rPr>
        <w:t>any</w:t>
      </w:r>
      <w:r>
        <w:rPr>
          <w:color w:val="231F20"/>
          <w:spacing w:val="-23"/>
          <w:w w:val="110"/>
        </w:rPr>
        <w:t> </w:t>
      </w:r>
      <w:r>
        <w:rPr>
          <w:color w:val="231F20"/>
          <w:w w:val="110"/>
        </w:rPr>
        <w:t>other necessary amendments to our Compensation</w:t>
      </w:r>
      <w:r>
        <w:rPr>
          <w:color w:val="231F20"/>
          <w:spacing w:val="-38"/>
          <w:w w:val="110"/>
        </w:rPr>
        <w:t> </w:t>
      </w:r>
      <w:r>
        <w:rPr>
          <w:color w:val="231F20"/>
          <w:spacing w:val="-5"/>
          <w:w w:val="110"/>
        </w:rPr>
        <w:t>Policy.</w:t>
      </w:r>
    </w:p>
    <w:p>
      <w:pPr>
        <w:pStyle w:val="BodyText"/>
        <w:spacing w:line="254" w:lineRule="auto" w:before="159"/>
        <w:ind w:left="1090" w:right="1749" w:firstLine="399"/>
      </w:pPr>
      <w:r>
        <w:rPr>
          <w:color w:val="231F20"/>
          <w:w w:val="105"/>
        </w:rPr>
        <w:t>This summary is qualified in its entirety by reference to the Compensation Policy, as amended. We recommend that you review the Compensation Policy, as amended, in its entirety, a copy of which is attached to this Proxy Statement as </w:t>
      </w:r>
      <w:r>
        <w:rPr>
          <w:color w:val="231F20"/>
          <w:w w:val="105"/>
          <w:u w:val="single" w:color="231F20"/>
        </w:rPr>
        <w:t>Appendix A</w:t>
      </w:r>
      <w:r>
        <w:rPr>
          <w:color w:val="231F20"/>
          <w:w w:val="105"/>
        </w:rPr>
        <w:t>.</w:t>
      </w:r>
    </w:p>
    <w:p>
      <w:pPr>
        <w:pStyle w:val="BodyText"/>
        <w:spacing w:before="8"/>
      </w:pPr>
    </w:p>
    <w:p>
      <w:pPr>
        <w:pStyle w:val="Heading2"/>
        <w:spacing w:before="1"/>
      </w:pPr>
      <w:r>
        <w:rPr>
          <w:color w:val="231F20"/>
        </w:rPr>
        <w:t>Proposed Resolution</w:t>
      </w:r>
    </w:p>
    <w:p>
      <w:pPr>
        <w:pStyle w:val="BodyText"/>
        <w:spacing w:before="169"/>
        <w:ind w:left="1489"/>
      </w:pPr>
      <w:r>
        <w:rPr>
          <w:color w:val="231F20"/>
          <w:w w:val="110"/>
        </w:rPr>
        <w:t>You are requested to adopt the following resolution:</w:t>
      </w:r>
    </w:p>
    <w:p>
      <w:pPr>
        <w:pStyle w:val="BodyText"/>
        <w:spacing w:line="254" w:lineRule="auto" w:before="173"/>
        <w:ind w:left="1090" w:right="1322" w:firstLine="399"/>
      </w:pPr>
      <w:r>
        <w:rPr>
          <w:color w:val="231F20"/>
          <w:w w:val="105"/>
        </w:rPr>
        <w:t>“5. RESOLVED, to approve the Company’s Compensation Policy for officers and directors for an additional period of three years from the date of the Annual General Meeting, with such changes thereto as described in Proposal 5 of the Proxy Statement.”</w:t>
      </w:r>
    </w:p>
    <w:p>
      <w:pPr>
        <w:pStyle w:val="BodyText"/>
        <w:spacing w:before="8"/>
      </w:pPr>
    </w:p>
    <w:p>
      <w:pPr>
        <w:pStyle w:val="Heading2"/>
      </w:pPr>
      <w:r>
        <w:rPr>
          <w:color w:val="231F20"/>
        </w:rPr>
        <w:t>Vote Required</w:t>
      </w:r>
    </w:p>
    <w:p>
      <w:pPr>
        <w:pStyle w:val="BodyText"/>
        <w:spacing w:before="170"/>
        <w:ind w:left="1489"/>
      </w:pPr>
      <w:r>
        <w:rPr>
          <w:color w:val="231F20"/>
          <w:w w:val="105"/>
        </w:rPr>
        <w:t>The affirmative vote of an Ordinary Majority is required to adopt this resolution, provided that either:</w:t>
      </w:r>
    </w:p>
    <w:p>
      <w:pPr>
        <w:pStyle w:val="ListParagraph"/>
        <w:numPr>
          <w:ilvl w:val="1"/>
          <w:numId w:val="3"/>
        </w:numPr>
        <w:tabs>
          <w:tab w:pos="1888" w:val="left" w:leader="none"/>
          <w:tab w:pos="1889" w:val="left" w:leader="none"/>
        </w:tabs>
        <w:spacing w:line="254" w:lineRule="auto" w:before="173" w:after="0"/>
        <w:ind w:left="1888" w:right="1894" w:hanging="400"/>
        <w:jc w:val="left"/>
        <w:rPr>
          <w:sz w:val="20"/>
        </w:rPr>
      </w:pPr>
      <w:r>
        <w:rPr>
          <w:color w:val="231F20"/>
          <w:w w:val="105"/>
          <w:sz w:val="20"/>
        </w:rPr>
        <w:t>a simple majority of shares voted </w:t>
      </w:r>
      <w:r>
        <w:rPr>
          <w:color w:val="231F20"/>
          <w:spacing w:val="-3"/>
          <w:w w:val="105"/>
          <w:sz w:val="20"/>
        </w:rPr>
        <w:t>at </w:t>
      </w:r>
      <w:r>
        <w:rPr>
          <w:color w:val="231F20"/>
          <w:w w:val="105"/>
          <w:sz w:val="20"/>
        </w:rPr>
        <w:t>the </w:t>
      </w:r>
      <w:r>
        <w:rPr>
          <w:color w:val="231F20"/>
          <w:spacing w:val="-3"/>
          <w:w w:val="105"/>
          <w:sz w:val="20"/>
        </w:rPr>
        <w:t>Annual </w:t>
      </w:r>
      <w:r>
        <w:rPr>
          <w:color w:val="231F20"/>
          <w:w w:val="105"/>
          <w:sz w:val="20"/>
        </w:rPr>
        <w:t>Meeting </w:t>
      </w:r>
      <w:r>
        <w:rPr>
          <w:i/>
          <w:color w:val="231F20"/>
          <w:w w:val="105"/>
          <w:sz w:val="20"/>
        </w:rPr>
        <w:t>excluding </w:t>
      </w:r>
      <w:r>
        <w:rPr>
          <w:color w:val="231F20"/>
          <w:w w:val="105"/>
          <w:sz w:val="20"/>
        </w:rPr>
        <w:t>the shares of controlling shareholders, if </w:t>
      </w:r>
      <w:r>
        <w:rPr>
          <w:color w:val="231F20"/>
          <w:spacing w:val="-7"/>
          <w:w w:val="105"/>
          <w:sz w:val="20"/>
        </w:rPr>
        <w:t>any, </w:t>
      </w:r>
      <w:r>
        <w:rPr>
          <w:color w:val="231F20"/>
          <w:w w:val="105"/>
          <w:sz w:val="20"/>
        </w:rPr>
        <w:t>and of shareholders who </w:t>
      </w:r>
      <w:r>
        <w:rPr>
          <w:color w:val="231F20"/>
          <w:spacing w:val="-5"/>
          <w:w w:val="105"/>
          <w:sz w:val="20"/>
        </w:rPr>
        <w:t>have </w:t>
      </w:r>
      <w:r>
        <w:rPr>
          <w:color w:val="231F20"/>
          <w:w w:val="105"/>
          <w:sz w:val="20"/>
        </w:rPr>
        <w:t>a personal interest in the </w:t>
      </w:r>
      <w:r>
        <w:rPr>
          <w:color w:val="231F20"/>
          <w:spacing w:val="-4"/>
          <w:w w:val="105"/>
          <w:sz w:val="20"/>
        </w:rPr>
        <w:t>approval </w:t>
      </w:r>
      <w:r>
        <w:rPr>
          <w:color w:val="231F20"/>
          <w:w w:val="105"/>
          <w:sz w:val="20"/>
        </w:rPr>
        <w:t>of the resolution, be voted “</w:t>
      </w:r>
      <w:r>
        <w:rPr>
          <w:b/>
          <w:color w:val="231F20"/>
          <w:w w:val="105"/>
          <w:sz w:val="20"/>
        </w:rPr>
        <w:t>FOR</w:t>
      </w:r>
      <w:r>
        <w:rPr>
          <w:color w:val="231F20"/>
          <w:w w:val="105"/>
          <w:sz w:val="20"/>
        </w:rPr>
        <w:t>” the resolution;</w:t>
      </w:r>
      <w:r>
        <w:rPr>
          <w:color w:val="231F20"/>
          <w:spacing w:val="-30"/>
          <w:w w:val="105"/>
          <w:sz w:val="20"/>
        </w:rPr>
        <w:t> </w:t>
      </w:r>
      <w:r>
        <w:rPr>
          <w:color w:val="231F20"/>
          <w:w w:val="105"/>
          <w:sz w:val="20"/>
        </w:rPr>
        <w:t>or</w:t>
      </w:r>
    </w:p>
    <w:p>
      <w:pPr>
        <w:pStyle w:val="ListParagraph"/>
        <w:numPr>
          <w:ilvl w:val="1"/>
          <w:numId w:val="3"/>
        </w:numPr>
        <w:tabs>
          <w:tab w:pos="1888" w:val="left" w:leader="none"/>
          <w:tab w:pos="1889" w:val="left" w:leader="none"/>
        </w:tabs>
        <w:spacing w:line="254" w:lineRule="auto" w:before="158" w:after="0"/>
        <w:ind w:left="1888" w:right="1394" w:hanging="400"/>
        <w:jc w:val="left"/>
        <w:rPr>
          <w:sz w:val="20"/>
        </w:rPr>
      </w:pPr>
      <w:r>
        <w:rPr>
          <w:color w:val="231F20"/>
          <w:w w:val="105"/>
          <w:sz w:val="20"/>
        </w:rPr>
        <w:t>the total number of shares of non-controlling shareholders and of shareholders who do not </w:t>
      </w:r>
      <w:r>
        <w:rPr>
          <w:color w:val="231F20"/>
          <w:spacing w:val="-5"/>
          <w:w w:val="105"/>
          <w:sz w:val="20"/>
        </w:rPr>
        <w:t>have </w:t>
      </w:r>
      <w:r>
        <w:rPr>
          <w:color w:val="231F20"/>
          <w:w w:val="105"/>
          <w:sz w:val="20"/>
        </w:rPr>
        <w:t>a personal interest in the </w:t>
      </w:r>
      <w:r>
        <w:rPr>
          <w:color w:val="231F20"/>
          <w:spacing w:val="-4"/>
          <w:w w:val="105"/>
          <w:sz w:val="20"/>
        </w:rPr>
        <w:t>approval </w:t>
      </w:r>
      <w:r>
        <w:rPr>
          <w:color w:val="231F20"/>
          <w:w w:val="105"/>
          <w:sz w:val="20"/>
        </w:rPr>
        <w:t>of  the resolution voted against </w:t>
      </w:r>
      <w:r>
        <w:rPr>
          <w:color w:val="231F20"/>
          <w:spacing w:val="-4"/>
          <w:w w:val="105"/>
          <w:sz w:val="20"/>
        </w:rPr>
        <w:t>approval </w:t>
      </w:r>
      <w:r>
        <w:rPr>
          <w:color w:val="231F20"/>
          <w:w w:val="105"/>
          <w:sz w:val="20"/>
        </w:rPr>
        <w:t>of  the resolution does  not exceed </w:t>
      </w:r>
      <w:r>
        <w:rPr>
          <w:color w:val="231F20"/>
          <w:spacing w:val="-3"/>
          <w:w w:val="105"/>
          <w:sz w:val="20"/>
        </w:rPr>
        <w:t>two </w:t>
      </w:r>
      <w:r>
        <w:rPr>
          <w:color w:val="231F20"/>
          <w:w w:val="105"/>
          <w:sz w:val="20"/>
        </w:rPr>
        <w:t>percent of the outstanding voting power in the</w:t>
      </w:r>
      <w:r>
        <w:rPr>
          <w:color w:val="231F20"/>
          <w:spacing w:val="-3"/>
          <w:w w:val="105"/>
          <w:sz w:val="20"/>
        </w:rPr>
        <w:t> </w:t>
      </w:r>
      <w:r>
        <w:rPr>
          <w:color w:val="231F20"/>
          <w:spacing w:val="-4"/>
          <w:w w:val="105"/>
          <w:sz w:val="20"/>
        </w:rPr>
        <w:t>Company.</w:t>
      </w:r>
    </w:p>
    <w:p>
      <w:pPr>
        <w:pStyle w:val="BodyText"/>
        <w:spacing w:line="254" w:lineRule="auto" w:before="159"/>
        <w:ind w:left="1090" w:right="1419" w:firstLine="399"/>
      </w:pPr>
      <w:r>
        <w:rPr>
          <w:color w:val="231F20"/>
          <w:w w:val="105"/>
        </w:rPr>
        <w:t>Under the Israel Companies </w:t>
      </w:r>
      <w:r>
        <w:rPr>
          <w:color w:val="231F20"/>
          <w:spacing w:val="-8"/>
          <w:w w:val="105"/>
        </w:rPr>
        <w:t>Law, </w:t>
      </w:r>
      <w:r>
        <w:rPr>
          <w:color w:val="231F20"/>
          <w:w w:val="105"/>
        </w:rPr>
        <w:t>the term “</w:t>
      </w:r>
      <w:r>
        <w:rPr>
          <w:b/>
          <w:color w:val="231F20"/>
          <w:w w:val="105"/>
        </w:rPr>
        <w:t>Controlling Shareholder</w:t>
      </w:r>
      <w:r>
        <w:rPr>
          <w:color w:val="231F20"/>
          <w:w w:val="105"/>
        </w:rPr>
        <w:t>” means a shareholder </w:t>
      </w:r>
      <w:r>
        <w:rPr>
          <w:color w:val="231F20"/>
          <w:spacing w:val="-3"/>
          <w:w w:val="105"/>
        </w:rPr>
        <w:t>having </w:t>
      </w:r>
      <w:r>
        <w:rPr>
          <w:color w:val="231F20"/>
          <w:w w:val="105"/>
        </w:rPr>
        <w:t>the ability to direct the activities of a </w:t>
      </w:r>
      <w:r>
        <w:rPr>
          <w:color w:val="231F20"/>
          <w:spacing w:val="-4"/>
          <w:w w:val="105"/>
        </w:rPr>
        <w:t>company, </w:t>
      </w:r>
      <w:r>
        <w:rPr>
          <w:color w:val="231F20"/>
          <w:w w:val="105"/>
        </w:rPr>
        <w:t>other than by virtue of being an office holder. A shareholder is</w:t>
      </w:r>
    </w:p>
    <w:p>
      <w:pPr>
        <w:spacing w:after="0" w:line="254" w:lineRule="auto"/>
        <w:sectPr>
          <w:pgSz w:w="11880" w:h="15480"/>
          <w:pgMar w:header="0" w:footer="664" w:top="940" w:bottom="860" w:left="300" w:right="0"/>
        </w:sectPr>
      </w:pPr>
    </w:p>
    <w:p>
      <w:pPr>
        <w:pStyle w:val="BodyText"/>
        <w:spacing w:line="244" w:lineRule="auto" w:before="87"/>
        <w:ind w:left="1090" w:right="1322"/>
      </w:pPr>
      <w:r>
        <w:rPr>
          <w:color w:val="231F20"/>
          <w:w w:val="105"/>
        </w:rPr>
        <w:t>presumed to be a controlling shareholder if the shareholder holds 50% or more of the voting rights in a company or has the right to appoint the majority of the directors of the company or its general manager.</w:t>
      </w:r>
    </w:p>
    <w:p>
      <w:pPr>
        <w:pStyle w:val="BodyText"/>
        <w:spacing w:line="244" w:lineRule="auto" w:before="158"/>
        <w:ind w:left="1090" w:right="1386" w:firstLine="399"/>
      </w:pPr>
      <w:r>
        <w:rPr>
          <w:color w:val="231F20"/>
          <w:w w:val="105"/>
        </w:rPr>
        <w:t>Under the Israel Companies </w:t>
      </w:r>
      <w:r>
        <w:rPr>
          <w:color w:val="231F20"/>
          <w:spacing w:val="-8"/>
          <w:w w:val="105"/>
        </w:rPr>
        <w:t>Law, </w:t>
      </w:r>
      <w:r>
        <w:rPr>
          <w:color w:val="231F20"/>
          <w:w w:val="105"/>
        </w:rPr>
        <w:t>a “</w:t>
      </w:r>
      <w:r>
        <w:rPr>
          <w:b/>
          <w:color w:val="231F20"/>
          <w:w w:val="105"/>
        </w:rPr>
        <w:t>personal interest</w:t>
      </w:r>
      <w:r>
        <w:rPr>
          <w:color w:val="231F20"/>
          <w:w w:val="105"/>
        </w:rPr>
        <w:t>” of a shareholder (i) includes a personal interest of the shareholder and </w:t>
      </w:r>
      <w:r>
        <w:rPr>
          <w:color w:val="231F20"/>
          <w:spacing w:val="-3"/>
          <w:w w:val="105"/>
        </w:rPr>
        <w:t>any </w:t>
      </w:r>
      <w:r>
        <w:rPr>
          <w:color w:val="231F20"/>
          <w:w w:val="105"/>
        </w:rPr>
        <w:t>member of the shareholder’s </w:t>
      </w:r>
      <w:r>
        <w:rPr>
          <w:color w:val="231F20"/>
          <w:spacing w:val="-4"/>
          <w:w w:val="105"/>
        </w:rPr>
        <w:t>family, </w:t>
      </w:r>
      <w:r>
        <w:rPr>
          <w:color w:val="231F20"/>
          <w:w w:val="105"/>
        </w:rPr>
        <w:t>family members of the shareholder’s</w:t>
      </w:r>
      <w:r>
        <w:rPr>
          <w:color w:val="231F20"/>
          <w:spacing w:val="-30"/>
          <w:w w:val="105"/>
        </w:rPr>
        <w:t> </w:t>
      </w:r>
      <w:r>
        <w:rPr>
          <w:color w:val="231F20"/>
          <w:w w:val="105"/>
        </w:rPr>
        <w:t>spouse, or a spouse of </w:t>
      </w:r>
      <w:r>
        <w:rPr>
          <w:color w:val="231F20"/>
          <w:spacing w:val="-3"/>
          <w:w w:val="105"/>
        </w:rPr>
        <w:t>any </w:t>
      </w:r>
      <w:r>
        <w:rPr>
          <w:color w:val="231F20"/>
          <w:w w:val="105"/>
        </w:rPr>
        <w:t>of such family members, or a personal interest of a company with respect to which the shareholder (or such family member) serves as a director or chief executive </w:t>
      </w:r>
      <w:r>
        <w:rPr>
          <w:color w:val="231F20"/>
          <w:spacing w:val="-3"/>
          <w:w w:val="105"/>
        </w:rPr>
        <w:t>officer, </w:t>
      </w:r>
      <w:r>
        <w:rPr>
          <w:color w:val="231F20"/>
          <w:w w:val="105"/>
        </w:rPr>
        <w:t>owns </w:t>
      </w:r>
      <w:r>
        <w:rPr>
          <w:color w:val="231F20"/>
          <w:spacing w:val="-3"/>
          <w:w w:val="105"/>
        </w:rPr>
        <w:t>at </w:t>
      </w:r>
      <w:r>
        <w:rPr>
          <w:color w:val="231F20"/>
          <w:w w:val="105"/>
        </w:rPr>
        <w:t>least 5% of the shares</w:t>
      </w:r>
      <w:r>
        <w:rPr>
          <w:color w:val="231F20"/>
          <w:spacing w:val="-15"/>
          <w:w w:val="105"/>
        </w:rPr>
        <w:t> </w:t>
      </w:r>
      <w:r>
        <w:rPr>
          <w:color w:val="231F20"/>
          <w:w w:val="105"/>
        </w:rPr>
        <w:t>or</w:t>
      </w:r>
      <w:r>
        <w:rPr>
          <w:color w:val="231F20"/>
          <w:spacing w:val="-15"/>
          <w:w w:val="105"/>
        </w:rPr>
        <w:t> </w:t>
      </w:r>
      <w:r>
        <w:rPr>
          <w:color w:val="231F20"/>
          <w:w w:val="105"/>
        </w:rPr>
        <w:t>has</w:t>
      </w:r>
      <w:r>
        <w:rPr>
          <w:color w:val="231F20"/>
          <w:spacing w:val="-15"/>
          <w:w w:val="105"/>
        </w:rPr>
        <w:t> </w:t>
      </w:r>
      <w:r>
        <w:rPr>
          <w:color w:val="231F20"/>
          <w:w w:val="105"/>
        </w:rPr>
        <w:t>the</w:t>
      </w:r>
      <w:r>
        <w:rPr>
          <w:color w:val="231F20"/>
          <w:spacing w:val="-15"/>
          <w:w w:val="105"/>
        </w:rPr>
        <w:t> </w:t>
      </w:r>
      <w:r>
        <w:rPr>
          <w:color w:val="231F20"/>
          <w:w w:val="105"/>
        </w:rPr>
        <w:t>right</w:t>
      </w:r>
      <w:r>
        <w:rPr>
          <w:color w:val="231F20"/>
          <w:spacing w:val="-15"/>
          <w:w w:val="105"/>
        </w:rPr>
        <w:t> </w:t>
      </w:r>
      <w:r>
        <w:rPr>
          <w:color w:val="231F20"/>
          <w:w w:val="105"/>
        </w:rPr>
        <w:t>to</w:t>
      </w:r>
      <w:r>
        <w:rPr>
          <w:color w:val="231F20"/>
          <w:spacing w:val="-15"/>
          <w:w w:val="105"/>
        </w:rPr>
        <w:t> </w:t>
      </w:r>
      <w:r>
        <w:rPr>
          <w:color w:val="231F20"/>
          <w:w w:val="105"/>
        </w:rPr>
        <w:t>appoint</w:t>
      </w:r>
      <w:r>
        <w:rPr>
          <w:color w:val="231F20"/>
          <w:spacing w:val="-15"/>
          <w:w w:val="105"/>
        </w:rPr>
        <w:t> </w:t>
      </w:r>
      <w:r>
        <w:rPr>
          <w:color w:val="231F20"/>
          <w:w w:val="105"/>
        </w:rPr>
        <w:t>a</w:t>
      </w:r>
      <w:r>
        <w:rPr>
          <w:color w:val="231F20"/>
          <w:spacing w:val="-15"/>
          <w:w w:val="105"/>
        </w:rPr>
        <w:t> </w:t>
      </w:r>
      <w:r>
        <w:rPr>
          <w:color w:val="231F20"/>
          <w:w w:val="105"/>
        </w:rPr>
        <w:t>director</w:t>
      </w:r>
      <w:r>
        <w:rPr>
          <w:color w:val="231F20"/>
          <w:spacing w:val="-15"/>
          <w:w w:val="105"/>
        </w:rPr>
        <w:t> </w:t>
      </w:r>
      <w:r>
        <w:rPr>
          <w:color w:val="231F20"/>
          <w:w w:val="105"/>
        </w:rPr>
        <w:t>or</w:t>
      </w:r>
      <w:r>
        <w:rPr>
          <w:color w:val="231F20"/>
          <w:spacing w:val="-14"/>
          <w:w w:val="105"/>
        </w:rPr>
        <w:t> </w:t>
      </w:r>
      <w:r>
        <w:rPr>
          <w:color w:val="231F20"/>
          <w:w w:val="105"/>
        </w:rPr>
        <w:t>chief</w:t>
      </w:r>
      <w:r>
        <w:rPr>
          <w:color w:val="231F20"/>
          <w:spacing w:val="4"/>
          <w:w w:val="105"/>
        </w:rPr>
        <w:t> </w:t>
      </w:r>
      <w:r>
        <w:rPr>
          <w:color w:val="231F20"/>
          <w:w w:val="105"/>
        </w:rPr>
        <w:t>executive</w:t>
      </w:r>
      <w:r>
        <w:rPr>
          <w:color w:val="231F20"/>
          <w:spacing w:val="-15"/>
          <w:w w:val="105"/>
        </w:rPr>
        <w:t> </w:t>
      </w:r>
      <w:r>
        <w:rPr>
          <w:color w:val="231F20"/>
          <w:spacing w:val="-3"/>
          <w:w w:val="105"/>
        </w:rPr>
        <w:t>officer,</w:t>
      </w:r>
      <w:r>
        <w:rPr>
          <w:color w:val="231F20"/>
          <w:spacing w:val="-15"/>
          <w:w w:val="105"/>
        </w:rPr>
        <w:t> </w:t>
      </w:r>
      <w:r>
        <w:rPr>
          <w:color w:val="231F20"/>
          <w:w w:val="105"/>
        </w:rPr>
        <w:t>and</w:t>
      </w:r>
      <w:r>
        <w:rPr>
          <w:color w:val="231F20"/>
          <w:spacing w:val="-15"/>
          <w:w w:val="105"/>
        </w:rPr>
        <w:t> </w:t>
      </w:r>
      <w:r>
        <w:rPr>
          <w:color w:val="231F20"/>
          <w:w w:val="105"/>
        </w:rPr>
        <w:t>(ii)</w:t>
      </w:r>
      <w:r>
        <w:rPr>
          <w:color w:val="231F20"/>
          <w:spacing w:val="-15"/>
          <w:w w:val="105"/>
        </w:rPr>
        <w:t> </w:t>
      </w:r>
      <w:r>
        <w:rPr>
          <w:color w:val="231F20"/>
          <w:w w:val="105"/>
        </w:rPr>
        <w:t>excludes</w:t>
      </w:r>
      <w:r>
        <w:rPr>
          <w:color w:val="231F20"/>
          <w:spacing w:val="-14"/>
          <w:w w:val="105"/>
        </w:rPr>
        <w:t> </w:t>
      </w:r>
      <w:r>
        <w:rPr>
          <w:color w:val="231F20"/>
          <w:w w:val="105"/>
        </w:rPr>
        <w:t>an</w:t>
      </w:r>
      <w:r>
        <w:rPr>
          <w:color w:val="231F20"/>
          <w:spacing w:val="-15"/>
          <w:w w:val="105"/>
        </w:rPr>
        <w:t> </w:t>
      </w:r>
      <w:r>
        <w:rPr>
          <w:color w:val="231F20"/>
          <w:w w:val="105"/>
        </w:rPr>
        <w:t>interest</w:t>
      </w:r>
      <w:r>
        <w:rPr>
          <w:color w:val="231F20"/>
          <w:spacing w:val="-15"/>
          <w:w w:val="105"/>
        </w:rPr>
        <w:t> </w:t>
      </w:r>
      <w:r>
        <w:rPr>
          <w:color w:val="231F20"/>
          <w:w w:val="105"/>
        </w:rPr>
        <w:t>arising</w:t>
      </w:r>
      <w:r>
        <w:rPr>
          <w:color w:val="231F20"/>
          <w:spacing w:val="-15"/>
          <w:w w:val="105"/>
        </w:rPr>
        <w:t> </w:t>
      </w:r>
      <w:r>
        <w:rPr>
          <w:color w:val="231F20"/>
          <w:w w:val="105"/>
        </w:rPr>
        <w:t>solely from the ownership of our ordinary </w:t>
      </w:r>
      <w:r>
        <w:rPr>
          <w:color w:val="231F20"/>
          <w:spacing w:val="-3"/>
          <w:w w:val="105"/>
        </w:rPr>
        <w:t>shares. </w:t>
      </w:r>
      <w:r>
        <w:rPr>
          <w:color w:val="231F20"/>
          <w:w w:val="105"/>
        </w:rPr>
        <w:t>Under the Israel Companies </w:t>
      </w:r>
      <w:r>
        <w:rPr>
          <w:color w:val="231F20"/>
          <w:spacing w:val="-8"/>
          <w:w w:val="105"/>
        </w:rPr>
        <w:t>Law, </w:t>
      </w:r>
      <w:r>
        <w:rPr>
          <w:color w:val="231F20"/>
          <w:w w:val="105"/>
        </w:rPr>
        <w:t>in the case of a person voting by </w:t>
      </w:r>
      <w:r>
        <w:rPr>
          <w:color w:val="231F20"/>
          <w:spacing w:val="-3"/>
          <w:w w:val="105"/>
        </w:rPr>
        <w:t>proxy for </w:t>
      </w:r>
      <w:r>
        <w:rPr>
          <w:color w:val="231F20"/>
          <w:w w:val="105"/>
        </w:rPr>
        <w:t>another person, “personal interest” includes a personal interest of  either the </w:t>
      </w:r>
      <w:r>
        <w:rPr>
          <w:color w:val="231F20"/>
          <w:spacing w:val="-3"/>
          <w:w w:val="105"/>
        </w:rPr>
        <w:t>proxy </w:t>
      </w:r>
      <w:r>
        <w:rPr>
          <w:color w:val="231F20"/>
          <w:w w:val="105"/>
        </w:rPr>
        <w:t>holder or  the shareholder granting the </w:t>
      </w:r>
      <w:r>
        <w:rPr>
          <w:color w:val="231F20"/>
          <w:spacing w:val="-6"/>
          <w:w w:val="105"/>
        </w:rPr>
        <w:t>proxy, </w:t>
      </w:r>
      <w:r>
        <w:rPr>
          <w:color w:val="231F20"/>
          <w:w w:val="105"/>
        </w:rPr>
        <w:t>whether or not the </w:t>
      </w:r>
      <w:r>
        <w:rPr>
          <w:color w:val="231F20"/>
          <w:spacing w:val="-3"/>
          <w:w w:val="105"/>
        </w:rPr>
        <w:t>proxy </w:t>
      </w:r>
      <w:r>
        <w:rPr>
          <w:color w:val="231F20"/>
          <w:w w:val="105"/>
        </w:rPr>
        <w:t>holder has discretion how to </w:t>
      </w:r>
      <w:r>
        <w:rPr>
          <w:color w:val="231F20"/>
          <w:spacing w:val="-4"/>
          <w:w w:val="105"/>
        </w:rPr>
        <w:t>vote. </w:t>
      </w:r>
      <w:r>
        <w:rPr>
          <w:color w:val="231F20"/>
          <w:w w:val="105"/>
        </w:rPr>
        <w:t>If </w:t>
      </w:r>
      <w:r>
        <w:rPr>
          <w:color w:val="231F20"/>
          <w:spacing w:val="-3"/>
          <w:w w:val="105"/>
        </w:rPr>
        <w:t>you </w:t>
      </w:r>
      <w:r>
        <w:rPr>
          <w:color w:val="231F20"/>
          <w:w w:val="105"/>
        </w:rPr>
        <w:t>do not </w:t>
      </w:r>
      <w:r>
        <w:rPr>
          <w:color w:val="231F20"/>
          <w:spacing w:val="-5"/>
          <w:w w:val="105"/>
        </w:rPr>
        <w:t>have </w:t>
      </w:r>
      <w:r>
        <w:rPr>
          <w:color w:val="231F20"/>
          <w:w w:val="105"/>
        </w:rPr>
        <w:t>a personal interest in this </w:t>
      </w:r>
      <w:r>
        <w:rPr>
          <w:color w:val="231F20"/>
          <w:spacing w:val="-4"/>
          <w:w w:val="105"/>
        </w:rPr>
        <w:t>matter, </w:t>
      </w:r>
      <w:r>
        <w:rPr>
          <w:color w:val="231F20"/>
          <w:spacing w:val="-3"/>
          <w:w w:val="105"/>
        </w:rPr>
        <w:t>you may </w:t>
      </w:r>
      <w:r>
        <w:rPr>
          <w:color w:val="231F20"/>
          <w:w w:val="105"/>
        </w:rPr>
        <w:t>assume that submitting the voting instruction form, Ballot   or</w:t>
      </w:r>
      <w:r>
        <w:rPr>
          <w:color w:val="231F20"/>
          <w:spacing w:val="-6"/>
          <w:w w:val="105"/>
        </w:rPr>
        <w:t> </w:t>
      </w:r>
      <w:r>
        <w:rPr>
          <w:color w:val="231F20"/>
          <w:w w:val="105"/>
        </w:rPr>
        <w:t>a</w:t>
      </w:r>
      <w:r>
        <w:rPr>
          <w:color w:val="231F20"/>
          <w:spacing w:val="-5"/>
          <w:w w:val="105"/>
        </w:rPr>
        <w:t> </w:t>
      </w:r>
      <w:r>
        <w:rPr>
          <w:color w:val="231F20"/>
          <w:spacing w:val="-3"/>
          <w:w w:val="105"/>
        </w:rPr>
        <w:t>proxy</w:t>
      </w:r>
      <w:r>
        <w:rPr>
          <w:color w:val="231F20"/>
          <w:spacing w:val="-5"/>
          <w:w w:val="105"/>
        </w:rPr>
        <w:t> </w:t>
      </w:r>
      <w:r>
        <w:rPr>
          <w:color w:val="231F20"/>
          <w:w w:val="105"/>
        </w:rPr>
        <w:t>will</w:t>
      </w:r>
      <w:r>
        <w:rPr>
          <w:color w:val="231F20"/>
          <w:spacing w:val="-5"/>
          <w:w w:val="105"/>
        </w:rPr>
        <w:t> </w:t>
      </w:r>
      <w:r>
        <w:rPr>
          <w:color w:val="231F20"/>
          <w:w w:val="105"/>
        </w:rPr>
        <w:t>not</w:t>
      </w:r>
      <w:r>
        <w:rPr>
          <w:color w:val="231F20"/>
          <w:spacing w:val="-5"/>
          <w:w w:val="105"/>
        </w:rPr>
        <w:t> </w:t>
      </w:r>
      <w:r>
        <w:rPr>
          <w:color w:val="231F20"/>
          <w:w w:val="105"/>
        </w:rPr>
        <w:t>create</w:t>
      </w:r>
      <w:r>
        <w:rPr>
          <w:color w:val="231F20"/>
          <w:spacing w:val="-5"/>
          <w:w w:val="105"/>
        </w:rPr>
        <w:t> </w:t>
      </w:r>
      <w:r>
        <w:rPr>
          <w:color w:val="231F20"/>
          <w:w w:val="105"/>
        </w:rPr>
        <w:t>a</w:t>
      </w:r>
      <w:r>
        <w:rPr>
          <w:color w:val="231F20"/>
          <w:spacing w:val="-5"/>
          <w:w w:val="105"/>
        </w:rPr>
        <w:t> </w:t>
      </w:r>
      <w:r>
        <w:rPr>
          <w:color w:val="231F20"/>
          <w:w w:val="105"/>
        </w:rPr>
        <w:t>personal</w:t>
      </w:r>
      <w:r>
        <w:rPr>
          <w:color w:val="231F20"/>
          <w:spacing w:val="-5"/>
          <w:w w:val="105"/>
        </w:rPr>
        <w:t> </w:t>
      </w:r>
      <w:r>
        <w:rPr>
          <w:color w:val="231F20"/>
          <w:w w:val="105"/>
        </w:rPr>
        <w:t>interest.</w:t>
      </w:r>
      <w:r>
        <w:rPr>
          <w:color w:val="231F20"/>
          <w:spacing w:val="-5"/>
          <w:w w:val="105"/>
        </w:rPr>
        <w:t> </w:t>
      </w:r>
      <w:r>
        <w:rPr>
          <w:color w:val="231F20"/>
          <w:spacing w:val="-11"/>
          <w:w w:val="105"/>
        </w:rPr>
        <w:t>To</w:t>
      </w:r>
      <w:r>
        <w:rPr>
          <w:color w:val="231F20"/>
          <w:spacing w:val="-5"/>
          <w:w w:val="105"/>
        </w:rPr>
        <w:t> avoid </w:t>
      </w:r>
      <w:r>
        <w:rPr>
          <w:color w:val="231F20"/>
          <w:w w:val="105"/>
        </w:rPr>
        <w:t>confusion,</w:t>
      </w:r>
      <w:r>
        <w:rPr>
          <w:color w:val="231F20"/>
          <w:spacing w:val="-5"/>
          <w:w w:val="105"/>
        </w:rPr>
        <w:t> </w:t>
      </w:r>
      <w:r>
        <w:rPr>
          <w:color w:val="231F20"/>
          <w:w w:val="105"/>
        </w:rPr>
        <w:t>in</w:t>
      </w:r>
      <w:r>
        <w:rPr>
          <w:color w:val="231F20"/>
          <w:spacing w:val="-5"/>
          <w:w w:val="105"/>
        </w:rPr>
        <w:t> </w:t>
      </w:r>
      <w:r>
        <w:rPr>
          <w:color w:val="231F20"/>
          <w:w w:val="105"/>
        </w:rPr>
        <w:t>the</w:t>
      </w:r>
      <w:r>
        <w:rPr>
          <w:color w:val="231F20"/>
          <w:spacing w:val="-5"/>
          <w:w w:val="105"/>
        </w:rPr>
        <w:t> </w:t>
      </w:r>
      <w:r>
        <w:rPr>
          <w:color w:val="231F20"/>
          <w:w w:val="105"/>
        </w:rPr>
        <w:t>voting</w:t>
      </w:r>
      <w:r>
        <w:rPr>
          <w:color w:val="231F20"/>
          <w:spacing w:val="-5"/>
          <w:w w:val="105"/>
        </w:rPr>
        <w:t> </w:t>
      </w:r>
      <w:r>
        <w:rPr>
          <w:color w:val="231F20"/>
          <w:w w:val="105"/>
        </w:rPr>
        <w:t>instruction</w:t>
      </w:r>
      <w:r>
        <w:rPr>
          <w:color w:val="231F20"/>
          <w:spacing w:val="-6"/>
          <w:w w:val="105"/>
        </w:rPr>
        <w:t> </w:t>
      </w:r>
      <w:r>
        <w:rPr>
          <w:color w:val="231F20"/>
          <w:w w:val="105"/>
        </w:rPr>
        <w:t>form</w:t>
      </w:r>
      <w:r>
        <w:rPr>
          <w:color w:val="231F20"/>
          <w:spacing w:val="-5"/>
          <w:w w:val="105"/>
        </w:rPr>
        <w:t> </w:t>
      </w:r>
      <w:r>
        <w:rPr>
          <w:color w:val="231F20"/>
          <w:w w:val="105"/>
        </w:rPr>
        <w:t>and</w:t>
      </w:r>
      <w:r>
        <w:rPr>
          <w:color w:val="231F20"/>
          <w:spacing w:val="-5"/>
          <w:w w:val="105"/>
        </w:rPr>
        <w:t> </w:t>
      </w:r>
      <w:r>
        <w:rPr>
          <w:color w:val="231F20"/>
          <w:w w:val="105"/>
        </w:rPr>
        <w:t>the</w:t>
      </w:r>
      <w:r>
        <w:rPr>
          <w:color w:val="231F20"/>
          <w:spacing w:val="-5"/>
          <w:w w:val="105"/>
        </w:rPr>
        <w:t> </w:t>
      </w:r>
      <w:r>
        <w:rPr>
          <w:color w:val="231F20"/>
          <w:w w:val="105"/>
        </w:rPr>
        <w:t>Ballot we refer to such a personal interest as a “personal benefit or other</w:t>
      </w:r>
      <w:r>
        <w:rPr>
          <w:color w:val="231F20"/>
          <w:spacing w:val="-32"/>
          <w:w w:val="105"/>
        </w:rPr>
        <w:t> </w:t>
      </w:r>
      <w:r>
        <w:rPr>
          <w:color w:val="231F20"/>
          <w:w w:val="105"/>
        </w:rPr>
        <w:t>interest.”</w:t>
      </w:r>
    </w:p>
    <w:p>
      <w:pPr>
        <w:pStyle w:val="BodyText"/>
        <w:spacing w:line="244" w:lineRule="auto" w:before="170"/>
        <w:ind w:left="1090" w:right="1472" w:firstLine="399"/>
        <w:rPr>
          <w:b/>
        </w:rPr>
      </w:pPr>
      <w:r>
        <w:rPr>
          <w:color w:val="231F20"/>
          <w:w w:val="105"/>
        </w:rPr>
        <w:t>The Israel Companies </w:t>
      </w:r>
      <w:r>
        <w:rPr>
          <w:color w:val="231F20"/>
          <w:spacing w:val="-5"/>
          <w:w w:val="105"/>
        </w:rPr>
        <w:t>Law </w:t>
      </w:r>
      <w:r>
        <w:rPr>
          <w:color w:val="231F20"/>
          <w:w w:val="105"/>
        </w:rPr>
        <w:t>requires that each shareholder voting on the proposal indicate whether or not the shareholder is a controlling shareholder or has a personal interest in the proposed resolution. Each of the voting instruction form and the Ballot includes a box </w:t>
      </w:r>
      <w:r>
        <w:rPr>
          <w:color w:val="231F20"/>
          <w:spacing w:val="-3"/>
          <w:w w:val="105"/>
        </w:rPr>
        <w:t>you </w:t>
      </w:r>
      <w:r>
        <w:rPr>
          <w:color w:val="231F20"/>
          <w:w w:val="105"/>
        </w:rPr>
        <w:t>can mark to confirm that </w:t>
      </w:r>
      <w:r>
        <w:rPr>
          <w:color w:val="231F20"/>
          <w:spacing w:val="-3"/>
          <w:w w:val="105"/>
        </w:rPr>
        <w:t>you </w:t>
      </w:r>
      <w:r>
        <w:rPr>
          <w:color w:val="231F20"/>
          <w:w w:val="105"/>
        </w:rPr>
        <w:t>are not </w:t>
      </w:r>
      <w:r>
        <w:rPr>
          <w:color w:val="231F20"/>
          <w:spacing w:val="-13"/>
          <w:w w:val="105"/>
        </w:rPr>
        <w:t>a </w:t>
      </w:r>
      <w:r>
        <w:rPr>
          <w:color w:val="231F20"/>
          <w:w w:val="105"/>
        </w:rPr>
        <w:t>“Controlling Shareholder” and do not </w:t>
      </w:r>
      <w:r>
        <w:rPr>
          <w:color w:val="231F20"/>
          <w:spacing w:val="-5"/>
          <w:w w:val="105"/>
        </w:rPr>
        <w:t>have </w:t>
      </w:r>
      <w:r>
        <w:rPr>
          <w:color w:val="231F20"/>
          <w:w w:val="105"/>
        </w:rPr>
        <w:t>a personal interest in this </w:t>
      </w:r>
      <w:r>
        <w:rPr>
          <w:color w:val="231F20"/>
          <w:spacing w:val="-3"/>
          <w:w w:val="105"/>
        </w:rPr>
        <w:t>matter. </w:t>
      </w:r>
      <w:r>
        <w:rPr>
          <w:b/>
          <w:color w:val="231F20"/>
          <w:w w:val="105"/>
        </w:rPr>
        <w:t>If </w:t>
      </w:r>
      <w:r>
        <w:rPr>
          <w:b/>
          <w:color w:val="231F20"/>
          <w:spacing w:val="-3"/>
          <w:w w:val="105"/>
        </w:rPr>
        <w:t>you </w:t>
      </w:r>
      <w:r>
        <w:rPr>
          <w:b/>
          <w:color w:val="231F20"/>
          <w:w w:val="105"/>
        </w:rPr>
        <w:t>do not mark this box, your vote will not be</w:t>
      </w:r>
      <w:r>
        <w:rPr>
          <w:b/>
          <w:color w:val="231F20"/>
          <w:spacing w:val="-27"/>
          <w:w w:val="105"/>
        </w:rPr>
        <w:t> </w:t>
      </w:r>
      <w:r>
        <w:rPr>
          <w:b/>
          <w:color w:val="231F20"/>
          <w:w w:val="105"/>
        </w:rPr>
        <w:t>counted.</w:t>
      </w:r>
    </w:p>
    <w:p>
      <w:pPr>
        <w:pStyle w:val="BodyText"/>
        <w:spacing w:line="244" w:lineRule="auto" w:before="164"/>
        <w:ind w:left="1090" w:right="1322" w:firstLine="399"/>
      </w:pPr>
      <w:r>
        <w:rPr>
          <w:color w:val="231F20"/>
          <w:w w:val="105"/>
        </w:rPr>
        <w:t>According to the Israel Companies Law, even if the shareholders do not approve the Compensation Policy, the compensation committee and the Board may thereafter approve the proposal, provided that they have determined, based on detailed reasoning and a re-evaluation of the Compensation Policy, that the Compensation Policy is in the best interests of the Company.</w:t>
      </w:r>
    </w:p>
    <w:p>
      <w:pPr>
        <w:pStyle w:val="BodyText"/>
        <w:spacing w:before="1"/>
        <w:rPr>
          <w:sz w:val="21"/>
        </w:rPr>
      </w:pPr>
    </w:p>
    <w:p>
      <w:pPr>
        <w:pStyle w:val="Heading2"/>
        <w:spacing w:before="1"/>
      </w:pPr>
      <w:r>
        <w:rPr>
          <w:color w:val="231F20"/>
        </w:rPr>
        <w:t>Board Recommendation</w:t>
      </w:r>
    </w:p>
    <w:p>
      <w:pPr>
        <w:pStyle w:val="BodyText"/>
        <w:spacing w:line="244" w:lineRule="auto" w:before="169"/>
        <w:ind w:left="1090" w:right="1705" w:firstLine="399"/>
      </w:pPr>
      <w:r>
        <w:rPr>
          <w:color w:val="231F20"/>
          <w:w w:val="110"/>
        </w:rPr>
        <w:t>THE</w:t>
      </w:r>
      <w:r>
        <w:rPr>
          <w:color w:val="231F20"/>
          <w:spacing w:val="-13"/>
          <w:w w:val="110"/>
        </w:rPr>
        <w:t> </w:t>
      </w:r>
      <w:r>
        <w:rPr>
          <w:color w:val="231F20"/>
          <w:w w:val="110"/>
        </w:rPr>
        <w:t>BOARD</w:t>
      </w:r>
      <w:r>
        <w:rPr>
          <w:color w:val="231F20"/>
          <w:spacing w:val="-12"/>
          <w:w w:val="110"/>
        </w:rPr>
        <w:t> </w:t>
      </w:r>
      <w:r>
        <w:rPr>
          <w:color w:val="231F20"/>
          <w:w w:val="110"/>
        </w:rPr>
        <w:t>OF</w:t>
      </w:r>
      <w:r>
        <w:rPr>
          <w:color w:val="231F20"/>
          <w:spacing w:val="-12"/>
          <w:w w:val="110"/>
        </w:rPr>
        <w:t> </w:t>
      </w:r>
      <w:r>
        <w:rPr>
          <w:color w:val="231F20"/>
          <w:w w:val="110"/>
        </w:rPr>
        <w:t>DIRECTORS</w:t>
      </w:r>
      <w:r>
        <w:rPr>
          <w:color w:val="231F20"/>
          <w:spacing w:val="-12"/>
          <w:w w:val="110"/>
        </w:rPr>
        <w:t> </w:t>
      </w:r>
      <w:r>
        <w:rPr>
          <w:color w:val="231F20"/>
          <w:w w:val="110"/>
        </w:rPr>
        <w:t>RECOMMENDS</w:t>
      </w:r>
      <w:r>
        <w:rPr>
          <w:color w:val="231F20"/>
          <w:spacing w:val="-12"/>
          <w:w w:val="110"/>
        </w:rPr>
        <w:t> </w:t>
      </w:r>
      <w:r>
        <w:rPr>
          <w:color w:val="231F20"/>
          <w:w w:val="110"/>
        </w:rPr>
        <w:t>A</w:t>
      </w:r>
      <w:r>
        <w:rPr>
          <w:color w:val="231F20"/>
          <w:spacing w:val="-12"/>
          <w:w w:val="110"/>
        </w:rPr>
        <w:t> </w:t>
      </w:r>
      <w:r>
        <w:rPr>
          <w:color w:val="231F20"/>
          <w:spacing w:val="-4"/>
          <w:w w:val="110"/>
        </w:rPr>
        <w:t>VOTE</w:t>
      </w:r>
      <w:r>
        <w:rPr>
          <w:color w:val="231F20"/>
          <w:spacing w:val="-12"/>
          <w:w w:val="110"/>
        </w:rPr>
        <w:t> </w:t>
      </w:r>
      <w:r>
        <w:rPr>
          <w:color w:val="231F20"/>
          <w:w w:val="110"/>
        </w:rPr>
        <w:t>“</w:t>
      </w:r>
      <w:r>
        <w:rPr>
          <w:b/>
          <w:color w:val="231F20"/>
          <w:w w:val="110"/>
        </w:rPr>
        <w:t>FOR</w:t>
      </w:r>
      <w:r>
        <w:rPr>
          <w:color w:val="231F20"/>
          <w:w w:val="110"/>
        </w:rPr>
        <w:t>”</w:t>
      </w:r>
      <w:r>
        <w:rPr>
          <w:color w:val="231F20"/>
          <w:spacing w:val="-22"/>
          <w:w w:val="110"/>
        </w:rPr>
        <w:t> </w:t>
      </w:r>
      <w:r>
        <w:rPr>
          <w:color w:val="231F20"/>
          <w:w w:val="110"/>
        </w:rPr>
        <w:t>THE</w:t>
      </w:r>
      <w:r>
        <w:rPr>
          <w:color w:val="231F20"/>
          <w:spacing w:val="-12"/>
          <w:w w:val="110"/>
        </w:rPr>
        <w:t> </w:t>
      </w:r>
      <w:r>
        <w:rPr>
          <w:color w:val="231F20"/>
          <w:w w:val="110"/>
        </w:rPr>
        <w:t>ADOPTION</w:t>
      </w:r>
      <w:r>
        <w:rPr>
          <w:color w:val="231F20"/>
          <w:spacing w:val="-12"/>
          <w:w w:val="110"/>
        </w:rPr>
        <w:t> </w:t>
      </w:r>
      <w:r>
        <w:rPr>
          <w:color w:val="231F20"/>
          <w:w w:val="110"/>
        </w:rPr>
        <w:t>OF</w:t>
      </w:r>
      <w:r>
        <w:rPr>
          <w:color w:val="231F20"/>
          <w:spacing w:val="-12"/>
          <w:w w:val="110"/>
        </w:rPr>
        <w:t> </w:t>
      </w:r>
      <w:r>
        <w:rPr>
          <w:color w:val="231F20"/>
          <w:w w:val="110"/>
        </w:rPr>
        <w:t>THE FOREGOING</w:t>
      </w:r>
      <w:r>
        <w:rPr>
          <w:color w:val="231F20"/>
          <w:spacing w:val="-6"/>
          <w:w w:val="110"/>
        </w:rPr>
        <w:t> </w:t>
      </w:r>
      <w:r>
        <w:rPr>
          <w:color w:val="231F20"/>
          <w:spacing w:val="-3"/>
          <w:w w:val="110"/>
        </w:rPr>
        <w:t>RESOLUTION.</w:t>
      </w:r>
    </w:p>
    <w:p>
      <w:pPr>
        <w:pStyle w:val="BodyText"/>
        <w:spacing w:before="10"/>
        <w:rPr>
          <w:sz w:val="11"/>
        </w:rPr>
      </w:pPr>
    </w:p>
    <w:p>
      <w:pPr>
        <w:spacing w:before="104"/>
        <w:ind w:left="1720" w:right="2017" w:firstLine="0"/>
        <w:jc w:val="center"/>
        <w:rPr>
          <w:b/>
          <w:sz w:val="20"/>
        </w:rPr>
      </w:pPr>
      <w:r>
        <w:rPr>
          <w:b/>
          <w:color w:val="231F20"/>
          <w:sz w:val="20"/>
          <w:u w:val="single" w:color="231F20"/>
        </w:rPr>
        <w:t>PROPOSAL 6</w:t>
      </w:r>
    </w:p>
    <w:p>
      <w:pPr>
        <w:spacing w:before="126"/>
        <w:ind w:left="1722" w:right="2017" w:firstLine="0"/>
        <w:jc w:val="center"/>
        <w:rPr>
          <w:b/>
          <w:sz w:val="20"/>
        </w:rPr>
      </w:pPr>
      <w:r>
        <w:rPr>
          <w:b/>
          <w:color w:val="231F20"/>
          <w:sz w:val="20"/>
        </w:rPr>
        <w:t>REAPPOINTMENT OF INDEPENDENT REGISTERED PUBLIC ACCOUNTING FIRM</w:t>
      </w:r>
    </w:p>
    <w:p>
      <w:pPr>
        <w:pStyle w:val="BodyText"/>
        <w:spacing w:before="7"/>
        <w:rPr>
          <w:b/>
          <w:sz w:val="21"/>
        </w:rPr>
      </w:pPr>
    </w:p>
    <w:p>
      <w:pPr>
        <w:pStyle w:val="Heading2"/>
      </w:pPr>
      <w:r>
        <w:rPr>
          <w:color w:val="231F20"/>
        </w:rPr>
        <w:t>Background</w:t>
      </w:r>
    </w:p>
    <w:p>
      <w:pPr>
        <w:pStyle w:val="BodyText"/>
        <w:spacing w:line="244" w:lineRule="auto" w:before="169"/>
        <w:ind w:left="1090" w:right="1386" w:firstLine="399"/>
      </w:pPr>
      <w:r>
        <w:rPr>
          <w:color w:val="231F20"/>
          <w:spacing w:val="-4"/>
          <w:w w:val="105"/>
        </w:rPr>
        <w:t>Kost Forer </w:t>
      </w:r>
      <w:r>
        <w:rPr>
          <w:color w:val="231F20"/>
          <w:spacing w:val="-5"/>
          <w:w w:val="105"/>
        </w:rPr>
        <w:t>Gabbay </w:t>
      </w:r>
      <w:r>
        <w:rPr>
          <w:color w:val="231F20"/>
          <w:w w:val="105"/>
        </w:rPr>
        <w:t>&amp; </w:t>
      </w:r>
      <w:r>
        <w:rPr>
          <w:color w:val="231F20"/>
          <w:spacing w:val="-3"/>
          <w:w w:val="105"/>
        </w:rPr>
        <w:t>Kasierer, </w:t>
      </w:r>
      <w:r>
        <w:rPr>
          <w:color w:val="231F20"/>
          <w:w w:val="105"/>
        </w:rPr>
        <w:t>a member of Ernst &amp; </w:t>
      </w:r>
      <w:r>
        <w:rPr>
          <w:color w:val="231F20"/>
          <w:spacing w:val="-6"/>
          <w:w w:val="105"/>
        </w:rPr>
        <w:t>Young </w:t>
      </w:r>
      <w:r>
        <w:rPr>
          <w:color w:val="231F20"/>
          <w:w w:val="105"/>
        </w:rPr>
        <w:t>Global, served as our independent registered public accounting firm </w:t>
      </w:r>
      <w:r>
        <w:rPr>
          <w:color w:val="231F20"/>
          <w:spacing w:val="-3"/>
          <w:w w:val="105"/>
        </w:rPr>
        <w:t>for </w:t>
      </w:r>
      <w:r>
        <w:rPr>
          <w:color w:val="231F20"/>
          <w:w w:val="105"/>
        </w:rPr>
        <w:t>the year ended December 31, 2022. At the Meeting, shareholders will be asked to </w:t>
      </w:r>
      <w:r>
        <w:rPr>
          <w:color w:val="231F20"/>
          <w:spacing w:val="-4"/>
          <w:w w:val="105"/>
        </w:rPr>
        <w:t>approve </w:t>
      </w:r>
      <w:r>
        <w:rPr>
          <w:color w:val="231F20"/>
          <w:w w:val="105"/>
        </w:rPr>
        <w:t>the reappointment of </w:t>
      </w:r>
      <w:r>
        <w:rPr>
          <w:color w:val="231F20"/>
          <w:spacing w:val="-4"/>
          <w:w w:val="105"/>
        </w:rPr>
        <w:t>Kost Forer </w:t>
      </w:r>
      <w:r>
        <w:rPr>
          <w:color w:val="231F20"/>
          <w:spacing w:val="-5"/>
          <w:w w:val="105"/>
        </w:rPr>
        <w:t>Gabbay </w:t>
      </w:r>
      <w:r>
        <w:rPr>
          <w:color w:val="231F20"/>
          <w:w w:val="105"/>
        </w:rPr>
        <w:t>&amp; Kasierer as our independent registered</w:t>
      </w:r>
      <w:r>
        <w:rPr>
          <w:color w:val="231F20"/>
          <w:spacing w:val="-33"/>
          <w:w w:val="105"/>
        </w:rPr>
        <w:t> </w:t>
      </w:r>
      <w:r>
        <w:rPr>
          <w:color w:val="231F20"/>
          <w:w w:val="105"/>
        </w:rPr>
        <w:t>public accounting firm </w:t>
      </w:r>
      <w:r>
        <w:rPr>
          <w:color w:val="231F20"/>
          <w:spacing w:val="-3"/>
          <w:w w:val="105"/>
        </w:rPr>
        <w:t>for </w:t>
      </w:r>
      <w:r>
        <w:rPr>
          <w:color w:val="231F20"/>
          <w:w w:val="105"/>
        </w:rPr>
        <w:t>the year ending December 31, 2023, and until the next </w:t>
      </w:r>
      <w:r>
        <w:rPr>
          <w:color w:val="231F20"/>
          <w:spacing w:val="-3"/>
          <w:w w:val="105"/>
        </w:rPr>
        <w:t>annual </w:t>
      </w:r>
      <w:r>
        <w:rPr>
          <w:color w:val="231F20"/>
          <w:w w:val="105"/>
        </w:rPr>
        <w:t>meeting of shareholders and to authorize the Board, upon the recommendation of the audit committee, to fix the remuneration of the independent registered public accounting firm in accordance with the volume and nature of its</w:t>
      </w:r>
      <w:r>
        <w:rPr>
          <w:color w:val="231F20"/>
          <w:spacing w:val="-13"/>
          <w:w w:val="105"/>
        </w:rPr>
        <w:t> </w:t>
      </w:r>
      <w:r>
        <w:rPr>
          <w:color w:val="231F20"/>
          <w:w w:val="105"/>
        </w:rPr>
        <w:t>services.</w:t>
      </w:r>
    </w:p>
    <w:p>
      <w:pPr>
        <w:pStyle w:val="BodyText"/>
        <w:spacing w:line="244" w:lineRule="auto" w:before="6"/>
        <w:ind w:left="1090" w:right="1322"/>
      </w:pPr>
      <w:r>
        <w:rPr>
          <w:color w:val="231F20"/>
          <w:w w:val="105"/>
        </w:rPr>
        <w:t>Representatives of </w:t>
      </w:r>
      <w:r>
        <w:rPr>
          <w:color w:val="231F20"/>
          <w:spacing w:val="-4"/>
          <w:w w:val="105"/>
        </w:rPr>
        <w:t>Kost Forer </w:t>
      </w:r>
      <w:r>
        <w:rPr>
          <w:color w:val="231F20"/>
          <w:spacing w:val="-5"/>
          <w:w w:val="105"/>
        </w:rPr>
        <w:t>Gabbay </w:t>
      </w:r>
      <w:r>
        <w:rPr>
          <w:color w:val="231F20"/>
          <w:w w:val="105"/>
        </w:rPr>
        <w:t>&amp; Kasierer are not expected to be present </w:t>
      </w:r>
      <w:r>
        <w:rPr>
          <w:color w:val="231F20"/>
          <w:spacing w:val="-3"/>
          <w:w w:val="105"/>
        </w:rPr>
        <w:t>at </w:t>
      </w:r>
      <w:r>
        <w:rPr>
          <w:color w:val="231F20"/>
          <w:w w:val="105"/>
        </w:rPr>
        <w:t>the Meeting and are not expected</w:t>
      </w:r>
      <w:r>
        <w:rPr>
          <w:color w:val="231F20"/>
          <w:spacing w:val="3"/>
          <w:w w:val="105"/>
        </w:rPr>
        <w:t> </w:t>
      </w:r>
      <w:r>
        <w:rPr>
          <w:color w:val="231F20"/>
          <w:w w:val="105"/>
        </w:rPr>
        <w:t>to</w:t>
      </w:r>
      <w:r>
        <w:rPr>
          <w:color w:val="231F20"/>
          <w:spacing w:val="3"/>
          <w:w w:val="105"/>
        </w:rPr>
        <w:t> </w:t>
      </w:r>
      <w:r>
        <w:rPr>
          <w:color w:val="231F20"/>
          <w:w w:val="105"/>
        </w:rPr>
        <w:t>be</w:t>
      </w:r>
      <w:r>
        <w:rPr>
          <w:color w:val="231F20"/>
          <w:spacing w:val="3"/>
          <w:w w:val="105"/>
        </w:rPr>
        <w:t> </w:t>
      </w:r>
      <w:r>
        <w:rPr>
          <w:color w:val="231F20"/>
          <w:spacing w:val="-4"/>
          <w:w w:val="105"/>
        </w:rPr>
        <w:t>available</w:t>
      </w:r>
      <w:r>
        <w:rPr>
          <w:color w:val="231F20"/>
          <w:spacing w:val="3"/>
          <w:w w:val="105"/>
        </w:rPr>
        <w:t> </w:t>
      </w:r>
      <w:r>
        <w:rPr>
          <w:color w:val="231F20"/>
          <w:w w:val="105"/>
        </w:rPr>
        <w:t>to</w:t>
      </w:r>
      <w:r>
        <w:rPr>
          <w:color w:val="231F20"/>
          <w:spacing w:val="3"/>
          <w:w w:val="105"/>
        </w:rPr>
        <w:t> </w:t>
      </w:r>
      <w:r>
        <w:rPr>
          <w:color w:val="231F20"/>
          <w:w w:val="105"/>
        </w:rPr>
        <w:t>respond</w:t>
      </w:r>
      <w:r>
        <w:rPr>
          <w:color w:val="231F20"/>
          <w:spacing w:val="3"/>
          <w:w w:val="105"/>
        </w:rPr>
        <w:t> </w:t>
      </w:r>
      <w:r>
        <w:rPr>
          <w:color w:val="231F20"/>
          <w:w w:val="105"/>
        </w:rPr>
        <w:t>to</w:t>
      </w:r>
      <w:r>
        <w:rPr>
          <w:color w:val="231F20"/>
          <w:spacing w:val="3"/>
          <w:w w:val="105"/>
        </w:rPr>
        <w:t> </w:t>
      </w:r>
      <w:r>
        <w:rPr>
          <w:color w:val="231F20"/>
          <w:w w:val="105"/>
        </w:rPr>
        <w:t>questions,</w:t>
      </w:r>
      <w:r>
        <w:rPr>
          <w:color w:val="231F20"/>
          <w:spacing w:val="3"/>
          <w:w w:val="105"/>
        </w:rPr>
        <w:t> </w:t>
      </w:r>
      <w:r>
        <w:rPr>
          <w:color w:val="231F20"/>
          <w:w w:val="105"/>
        </w:rPr>
        <w:t>and</w:t>
      </w:r>
      <w:r>
        <w:rPr>
          <w:color w:val="231F20"/>
          <w:spacing w:val="3"/>
          <w:w w:val="105"/>
        </w:rPr>
        <w:t> </w:t>
      </w:r>
      <w:r>
        <w:rPr>
          <w:color w:val="231F20"/>
          <w:w w:val="105"/>
        </w:rPr>
        <w:t>will</w:t>
      </w:r>
      <w:r>
        <w:rPr>
          <w:color w:val="231F20"/>
          <w:spacing w:val="3"/>
          <w:w w:val="105"/>
        </w:rPr>
        <w:t> </w:t>
      </w:r>
      <w:r>
        <w:rPr>
          <w:color w:val="231F20"/>
          <w:w w:val="105"/>
        </w:rPr>
        <w:t>not</w:t>
      </w:r>
      <w:r>
        <w:rPr>
          <w:color w:val="231F20"/>
          <w:spacing w:val="3"/>
          <w:w w:val="105"/>
        </w:rPr>
        <w:t> </w:t>
      </w:r>
      <w:r>
        <w:rPr>
          <w:color w:val="231F20"/>
          <w:spacing w:val="-5"/>
          <w:w w:val="105"/>
        </w:rPr>
        <w:t>have</w:t>
      </w:r>
      <w:r>
        <w:rPr>
          <w:color w:val="231F20"/>
          <w:spacing w:val="3"/>
          <w:w w:val="105"/>
        </w:rPr>
        <w:t> </w:t>
      </w:r>
      <w:r>
        <w:rPr>
          <w:color w:val="231F20"/>
          <w:w w:val="105"/>
        </w:rPr>
        <w:t>the</w:t>
      </w:r>
      <w:r>
        <w:rPr>
          <w:color w:val="231F20"/>
          <w:spacing w:val="3"/>
          <w:w w:val="105"/>
        </w:rPr>
        <w:t> </w:t>
      </w:r>
      <w:r>
        <w:rPr>
          <w:color w:val="231F20"/>
          <w:w w:val="105"/>
        </w:rPr>
        <w:t>opportunity</w:t>
      </w:r>
      <w:r>
        <w:rPr>
          <w:color w:val="231F20"/>
          <w:spacing w:val="3"/>
          <w:w w:val="105"/>
        </w:rPr>
        <w:t> </w:t>
      </w:r>
      <w:r>
        <w:rPr>
          <w:color w:val="231F20"/>
          <w:w w:val="105"/>
        </w:rPr>
        <w:t>to</w:t>
      </w:r>
      <w:r>
        <w:rPr>
          <w:color w:val="231F20"/>
          <w:spacing w:val="3"/>
          <w:w w:val="105"/>
        </w:rPr>
        <w:t> </w:t>
      </w:r>
      <w:r>
        <w:rPr>
          <w:color w:val="231F20"/>
          <w:spacing w:val="-4"/>
          <w:w w:val="105"/>
        </w:rPr>
        <w:t>make</w:t>
      </w:r>
      <w:r>
        <w:rPr>
          <w:color w:val="231F20"/>
          <w:spacing w:val="3"/>
          <w:w w:val="105"/>
        </w:rPr>
        <w:t> </w:t>
      </w:r>
      <w:r>
        <w:rPr>
          <w:color w:val="231F20"/>
          <w:w w:val="105"/>
        </w:rPr>
        <w:t>a</w:t>
      </w:r>
      <w:r>
        <w:rPr>
          <w:color w:val="231F20"/>
          <w:spacing w:val="3"/>
          <w:w w:val="105"/>
        </w:rPr>
        <w:t> </w:t>
      </w:r>
      <w:r>
        <w:rPr>
          <w:color w:val="231F20"/>
          <w:w w:val="105"/>
        </w:rPr>
        <w:t>statement.</w:t>
      </w:r>
    </w:p>
    <w:p>
      <w:pPr>
        <w:pStyle w:val="BodyText"/>
        <w:spacing w:line="244" w:lineRule="auto" w:before="161"/>
        <w:ind w:left="1090" w:right="1322" w:firstLine="399"/>
      </w:pPr>
      <w:r>
        <w:rPr>
          <w:color w:val="231F20"/>
          <w:w w:val="105"/>
        </w:rPr>
        <w:t>We have been advised by Kost Forer Gabbay &amp; Kasierer that it is an independent registered public accounting firm with the PCAOB, and complies with the auditing, quality control and independence standards and rules of the PCAOB.</w:t>
      </w:r>
    </w:p>
    <w:p>
      <w:pPr>
        <w:pStyle w:val="BodyText"/>
        <w:spacing w:line="244" w:lineRule="auto" w:before="163"/>
        <w:ind w:left="1090" w:right="1383" w:firstLine="399"/>
      </w:pPr>
      <w:r>
        <w:rPr>
          <w:color w:val="231F20"/>
          <w:w w:val="105"/>
        </w:rPr>
        <w:t>In executing its responsibilities, the audit committee engages in an </w:t>
      </w:r>
      <w:r>
        <w:rPr>
          <w:color w:val="231F20"/>
          <w:spacing w:val="-3"/>
          <w:w w:val="105"/>
        </w:rPr>
        <w:t>annual evaluation </w:t>
      </w:r>
      <w:r>
        <w:rPr>
          <w:color w:val="231F20"/>
          <w:w w:val="105"/>
        </w:rPr>
        <w:t>of </w:t>
      </w:r>
      <w:r>
        <w:rPr>
          <w:color w:val="231F20"/>
          <w:spacing w:val="-4"/>
          <w:w w:val="105"/>
        </w:rPr>
        <w:t>Kost Forer </w:t>
      </w:r>
      <w:r>
        <w:rPr>
          <w:color w:val="231F20"/>
          <w:spacing w:val="-5"/>
          <w:w w:val="105"/>
        </w:rPr>
        <w:t>Gabbay </w:t>
      </w:r>
      <w:r>
        <w:rPr>
          <w:color w:val="231F20"/>
          <w:w w:val="105"/>
        </w:rPr>
        <w:t>&amp; </w:t>
      </w:r>
      <w:r>
        <w:rPr>
          <w:color w:val="231F20"/>
          <w:spacing w:val="-3"/>
          <w:w w:val="105"/>
        </w:rPr>
        <w:t>Kasierer’s </w:t>
      </w:r>
      <w:r>
        <w:rPr>
          <w:color w:val="231F20"/>
          <w:w w:val="105"/>
        </w:rPr>
        <w:t>qualifications, performance and independence, and considers whether continued retention of  </w:t>
      </w:r>
      <w:r>
        <w:rPr>
          <w:color w:val="231F20"/>
          <w:spacing w:val="-4"/>
          <w:w w:val="105"/>
        </w:rPr>
        <w:t>Kost Forer </w:t>
      </w:r>
      <w:r>
        <w:rPr>
          <w:color w:val="231F20"/>
          <w:spacing w:val="-5"/>
          <w:w w:val="105"/>
        </w:rPr>
        <w:t>Gabbay </w:t>
      </w:r>
      <w:r>
        <w:rPr>
          <w:color w:val="231F20"/>
          <w:w w:val="105"/>
        </w:rPr>
        <w:t>&amp; Kasierer as the </w:t>
      </w:r>
      <w:r>
        <w:rPr>
          <w:color w:val="231F20"/>
          <w:spacing w:val="-3"/>
          <w:w w:val="105"/>
        </w:rPr>
        <w:t>Company’s </w:t>
      </w:r>
      <w:r>
        <w:rPr>
          <w:color w:val="231F20"/>
          <w:w w:val="105"/>
        </w:rPr>
        <w:t>independent registered public accounting   firm</w:t>
      </w:r>
      <w:r>
        <w:rPr>
          <w:color w:val="231F20"/>
          <w:spacing w:val="-7"/>
          <w:w w:val="105"/>
        </w:rPr>
        <w:t> </w:t>
      </w:r>
      <w:r>
        <w:rPr>
          <w:color w:val="231F20"/>
          <w:w w:val="105"/>
        </w:rPr>
        <w:t>is</w:t>
      </w:r>
      <w:r>
        <w:rPr>
          <w:color w:val="231F20"/>
          <w:spacing w:val="-6"/>
          <w:w w:val="105"/>
        </w:rPr>
        <w:t> </w:t>
      </w:r>
      <w:r>
        <w:rPr>
          <w:color w:val="231F20"/>
          <w:w w:val="105"/>
        </w:rPr>
        <w:t>in</w:t>
      </w:r>
      <w:r>
        <w:rPr>
          <w:color w:val="231F20"/>
          <w:spacing w:val="-6"/>
          <w:w w:val="105"/>
        </w:rPr>
        <w:t> </w:t>
      </w:r>
      <w:r>
        <w:rPr>
          <w:color w:val="231F20"/>
          <w:w w:val="105"/>
        </w:rPr>
        <w:t>the</w:t>
      </w:r>
      <w:r>
        <w:rPr>
          <w:color w:val="231F20"/>
          <w:spacing w:val="-6"/>
          <w:w w:val="105"/>
        </w:rPr>
        <w:t> </w:t>
      </w:r>
      <w:r>
        <w:rPr>
          <w:color w:val="231F20"/>
          <w:w w:val="105"/>
        </w:rPr>
        <w:t>best</w:t>
      </w:r>
      <w:r>
        <w:rPr>
          <w:color w:val="231F20"/>
          <w:spacing w:val="-6"/>
          <w:w w:val="105"/>
        </w:rPr>
        <w:t> </w:t>
      </w:r>
      <w:r>
        <w:rPr>
          <w:color w:val="231F20"/>
          <w:w w:val="105"/>
        </w:rPr>
        <w:t>interest</w:t>
      </w:r>
      <w:r>
        <w:rPr>
          <w:color w:val="231F20"/>
          <w:spacing w:val="-6"/>
          <w:w w:val="105"/>
        </w:rPr>
        <w:t> </w:t>
      </w:r>
      <w:r>
        <w:rPr>
          <w:color w:val="231F20"/>
          <w:w w:val="105"/>
        </w:rPr>
        <w:t>of</w:t>
      </w:r>
      <w:r>
        <w:rPr>
          <w:color w:val="231F20"/>
          <w:spacing w:val="15"/>
          <w:w w:val="105"/>
        </w:rPr>
        <w:t> </w:t>
      </w:r>
      <w:r>
        <w:rPr>
          <w:color w:val="231F20"/>
          <w:w w:val="105"/>
        </w:rPr>
        <w:t>the</w:t>
      </w:r>
      <w:r>
        <w:rPr>
          <w:color w:val="231F20"/>
          <w:spacing w:val="-6"/>
          <w:w w:val="105"/>
        </w:rPr>
        <w:t> </w:t>
      </w:r>
      <w:r>
        <w:rPr>
          <w:color w:val="231F20"/>
          <w:spacing w:val="-4"/>
          <w:w w:val="105"/>
        </w:rPr>
        <w:t>Company.</w:t>
      </w:r>
      <w:r>
        <w:rPr>
          <w:color w:val="231F20"/>
          <w:spacing w:val="-6"/>
          <w:w w:val="105"/>
        </w:rPr>
        <w:t> </w:t>
      </w:r>
      <w:r>
        <w:rPr>
          <w:color w:val="231F20"/>
          <w:w w:val="105"/>
        </w:rPr>
        <w:t>The</w:t>
      </w:r>
      <w:r>
        <w:rPr>
          <w:color w:val="231F20"/>
          <w:spacing w:val="-6"/>
          <w:w w:val="105"/>
        </w:rPr>
        <w:t> </w:t>
      </w:r>
      <w:r>
        <w:rPr>
          <w:color w:val="231F20"/>
          <w:w w:val="105"/>
        </w:rPr>
        <w:t>audit</w:t>
      </w:r>
      <w:r>
        <w:rPr>
          <w:color w:val="231F20"/>
          <w:spacing w:val="-7"/>
          <w:w w:val="105"/>
        </w:rPr>
        <w:t> </w:t>
      </w:r>
      <w:r>
        <w:rPr>
          <w:color w:val="231F20"/>
          <w:w w:val="105"/>
        </w:rPr>
        <w:t>committee</w:t>
      </w:r>
      <w:r>
        <w:rPr>
          <w:color w:val="231F20"/>
          <w:spacing w:val="-6"/>
          <w:w w:val="105"/>
        </w:rPr>
        <w:t> </w:t>
      </w:r>
      <w:r>
        <w:rPr>
          <w:color w:val="231F20"/>
          <w:w w:val="105"/>
        </w:rPr>
        <w:t>is</w:t>
      </w:r>
      <w:r>
        <w:rPr>
          <w:color w:val="231F20"/>
          <w:spacing w:val="-6"/>
          <w:w w:val="105"/>
        </w:rPr>
        <w:t> </w:t>
      </w:r>
      <w:r>
        <w:rPr>
          <w:color w:val="231F20"/>
          <w:spacing w:val="-3"/>
          <w:w w:val="105"/>
        </w:rPr>
        <w:t>also</w:t>
      </w:r>
      <w:r>
        <w:rPr>
          <w:color w:val="231F20"/>
          <w:spacing w:val="-6"/>
          <w:w w:val="105"/>
        </w:rPr>
        <w:t> </w:t>
      </w:r>
      <w:r>
        <w:rPr>
          <w:color w:val="231F20"/>
          <w:spacing w:val="-3"/>
          <w:w w:val="105"/>
        </w:rPr>
        <w:t>involved</w:t>
      </w:r>
      <w:r>
        <w:rPr>
          <w:color w:val="231F20"/>
          <w:spacing w:val="-6"/>
          <w:w w:val="105"/>
        </w:rPr>
        <w:t> </w:t>
      </w:r>
      <w:r>
        <w:rPr>
          <w:color w:val="231F20"/>
          <w:w w:val="105"/>
        </w:rPr>
        <w:t>in</w:t>
      </w:r>
      <w:r>
        <w:rPr>
          <w:color w:val="231F20"/>
          <w:spacing w:val="-6"/>
          <w:w w:val="105"/>
        </w:rPr>
        <w:t> </w:t>
      </w:r>
      <w:r>
        <w:rPr>
          <w:color w:val="231F20"/>
          <w:w w:val="105"/>
        </w:rPr>
        <w:t>the</w:t>
      </w:r>
      <w:r>
        <w:rPr>
          <w:color w:val="231F20"/>
          <w:spacing w:val="-6"/>
          <w:w w:val="105"/>
        </w:rPr>
        <w:t> </w:t>
      </w:r>
      <w:r>
        <w:rPr>
          <w:color w:val="231F20"/>
          <w:w w:val="105"/>
        </w:rPr>
        <w:t>selection</w:t>
      </w:r>
      <w:r>
        <w:rPr>
          <w:color w:val="231F20"/>
          <w:spacing w:val="-7"/>
          <w:w w:val="105"/>
        </w:rPr>
        <w:t> </w:t>
      </w:r>
      <w:r>
        <w:rPr>
          <w:color w:val="231F20"/>
          <w:w w:val="105"/>
        </w:rPr>
        <w:t>of</w:t>
      </w:r>
      <w:r>
        <w:rPr>
          <w:color w:val="231F20"/>
          <w:spacing w:val="16"/>
          <w:w w:val="105"/>
        </w:rPr>
        <w:t> </w:t>
      </w:r>
      <w:r>
        <w:rPr>
          <w:color w:val="231F20"/>
          <w:spacing w:val="-4"/>
          <w:w w:val="105"/>
        </w:rPr>
        <w:t>Kost</w:t>
      </w:r>
      <w:r>
        <w:rPr>
          <w:color w:val="231F20"/>
          <w:spacing w:val="-6"/>
          <w:w w:val="105"/>
        </w:rPr>
        <w:t> </w:t>
      </w:r>
      <w:r>
        <w:rPr>
          <w:color w:val="231F20"/>
          <w:spacing w:val="-4"/>
          <w:w w:val="105"/>
        </w:rPr>
        <w:t>Forer </w:t>
      </w:r>
      <w:r>
        <w:rPr>
          <w:color w:val="231F20"/>
          <w:spacing w:val="-5"/>
          <w:w w:val="105"/>
        </w:rPr>
        <w:t>Gabbay </w:t>
      </w:r>
      <w:r>
        <w:rPr>
          <w:color w:val="231F20"/>
          <w:w w:val="105"/>
        </w:rPr>
        <w:t>&amp; </w:t>
      </w:r>
      <w:r>
        <w:rPr>
          <w:color w:val="231F20"/>
          <w:spacing w:val="-3"/>
          <w:w w:val="105"/>
        </w:rPr>
        <w:t>Kasierer’s </w:t>
      </w:r>
      <w:r>
        <w:rPr>
          <w:color w:val="231F20"/>
          <w:w w:val="105"/>
        </w:rPr>
        <w:t>lead engagement partner. In accordance with SEC rules and </w:t>
      </w:r>
      <w:r>
        <w:rPr>
          <w:color w:val="231F20"/>
          <w:spacing w:val="-4"/>
          <w:w w:val="105"/>
        </w:rPr>
        <w:t>Kost Forer </w:t>
      </w:r>
      <w:r>
        <w:rPr>
          <w:color w:val="231F20"/>
          <w:spacing w:val="-5"/>
          <w:w w:val="105"/>
        </w:rPr>
        <w:t>Gabbay </w:t>
      </w:r>
      <w:r>
        <w:rPr>
          <w:color w:val="231F20"/>
          <w:w w:val="105"/>
        </w:rPr>
        <w:t>&amp; Kasierer policies the firm’s lead engagement partner rotates every five </w:t>
      </w:r>
      <w:r>
        <w:rPr>
          <w:color w:val="231F20"/>
          <w:spacing w:val="-3"/>
          <w:w w:val="105"/>
        </w:rPr>
        <w:t>years. </w:t>
      </w:r>
      <w:r>
        <w:rPr>
          <w:color w:val="231F20"/>
          <w:w w:val="105"/>
        </w:rPr>
        <w:t>In assessing independence, the audit</w:t>
      </w:r>
      <w:r>
        <w:rPr>
          <w:color w:val="231F20"/>
          <w:spacing w:val="-16"/>
          <w:w w:val="105"/>
        </w:rPr>
        <w:t> </w:t>
      </w:r>
      <w:r>
        <w:rPr>
          <w:color w:val="231F20"/>
          <w:w w:val="105"/>
        </w:rPr>
        <w:t>committee</w:t>
      </w:r>
      <w:r>
        <w:rPr>
          <w:color w:val="231F20"/>
          <w:spacing w:val="-15"/>
          <w:w w:val="105"/>
        </w:rPr>
        <w:t> </w:t>
      </w:r>
      <w:r>
        <w:rPr>
          <w:color w:val="231F20"/>
          <w:spacing w:val="-3"/>
          <w:w w:val="105"/>
        </w:rPr>
        <w:t>reviews</w:t>
      </w:r>
      <w:r>
        <w:rPr>
          <w:color w:val="231F20"/>
          <w:spacing w:val="-15"/>
          <w:w w:val="105"/>
        </w:rPr>
        <w:t> </w:t>
      </w:r>
      <w:r>
        <w:rPr>
          <w:color w:val="231F20"/>
          <w:w w:val="105"/>
        </w:rPr>
        <w:t>the</w:t>
      </w:r>
      <w:r>
        <w:rPr>
          <w:color w:val="231F20"/>
          <w:spacing w:val="-15"/>
          <w:w w:val="105"/>
        </w:rPr>
        <w:t> </w:t>
      </w:r>
      <w:r>
        <w:rPr>
          <w:color w:val="231F20"/>
          <w:w w:val="105"/>
        </w:rPr>
        <w:t>fees</w:t>
      </w:r>
      <w:r>
        <w:rPr>
          <w:color w:val="231F20"/>
          <w:spacing w:val="-15"/>
          <w:w w:val="105"/>
        </w:rPr>
        <w:t> </w:t>
      </w:r>
      <w:r>
        <w:rPr>
          <w:color w:val="231F20"/>
          <w:w w:val="105"/>
        </w:rPr>
        <w:t>paid,</w:t>
      </w:r>
      <w:r>
        <w:rPr>
          <w:color w:val="231F20"/>
          <w:spacing w:val="-15"/>
          <w:w w:val="105"/>
        </w:rPr>
        <w:t> </w:t>
      </w:r>
      <w:r>
        <w:rPr>
          <w:color w:val="231F20"/>
          <w:w w:val="105"/>
        </w:rPr>
        <w:t>including</w:t>
      </w:r>
      <w:r>
        <w:rPr>
          <w:color w:val="231F20"/>
          <w:spacing w:val="-15"/>
          <w:w w:val="105"/>
        </w:rPr>
        <w:t> </w:t>
      </w:r>
      <w:r>
        <w:rPr>
          <w:color w:val="231F20"/>
          <w:w w:val="105"/>
        </w:rPr>
        <w:t>those</w:t>
      </w:r>
      <w:r>
        <w:rPr>
          <w:color w:val="231F20"/>
          <w:spacing w:val="-16"/>
          <w:w w:val="105"/>
        </w:rPr>
        <w:t> </w:t>
      </w:r>
      <w:r>
        <w:rPr>
          <w:color w:val="231F20"/>
          <w:spacing w:val="-3"/>
          <w:w w:val="105"/>
        </w:rPr>
        <w:t>related</w:t>
      </w:r>
      <w:r>
        <w:rPr>
          <w:color w:val="231F20"/>
          <w:spacing w:val="-15"/>
          <w:w w:val="105"/>
        </w:rPr>
        <w:t> </w:t>
      </w:r>
      <w:r>
        <w:rPr>
          <w:color w:val="231F20"/>
          <w:w w:val="105"/>
        </w:rPr>
        <w:t>to</w:t>
      </w:r>
      <w:r>
        <w:rPr>
          <w:color w:val="231F20"/>
          <w:spacing w:val="-15"/>
          <w:w w:val="105"/>
        </w:rPr>
        <w:t> </w:t>
      </w:r>
      <w:r>
        <w:rPr>
          <w:color w:val="231F20"/>
          <w:w w:val="105"/>
        </w:rPr>
        <w:t>non-audit</w:t>
      </w:r>
      <w:r>
        <w:rPr>
          <w:color w:val="231F20"/>
          <w:spacing w:val="-15"/>
          <w:w w:val="105"/>
        </w:rPr>
        <w:t> </w:t>
      </w:r>
      <w:r>
        <w:rPr>
          <w:color w:val="231F20"/>
          <w:spacing w:val="-3"/>
          <w:w w:val="105"/>
        </w:rPr>
        <w:t>services.</w:t>
      </w:r>
      <w:r>
        <w:rPr>
          <w:color w:val="231F20"/>
          <w:spacing w:val="-15"/>
          <w:w w:val="105"/>
        </w:rPr>
        <w:t> </w:t>
      </w:r>
      <w:r>
        <w:rPr>
          <w:color w:val="231F20"/>
          <w:w w:val="105"/>
        </w:rPr>
        <w:t>As</w:t>
      </w:r>
      <w:r>
        <w:rPr>
          <w:color w:val="231F20"/>
          <w:spacing w:val="-15"/>
          <w:w w:val="105"/>
        </w:rPr>
        <w:t> </w:t>
      </w:r>
      <w:r>
        <w:rPr>
          <w:color w:val="231F20"/>
          <w:w w:val="105"/>
        </w:rPr>
        <w:t>a</w:t>
      </w:r>
      <w:r>
        <w:rPr>
          <w:color w:val="231F20"/>
          <w:spacing w:val="-15"/>
          <w:w w:val="105"/>
        </w:rPr>
        <w:t> </w:t>
      </w:r>
      <w:r>
        <w:rPr>
          <w:color w:val="231F20"/>
          <w:w w:val="105"/>
        </w:rPr>
        <w:t>result</w:t>
      </w:r>
      <w:r>
        <w:rPr>
          <w:color w:val="231F20"/>
          <w:spacing w:val="-15"/>
          <w:w w:val="105"/>
        </w:rPr>
        <w:t> </w:t>
      </w:r>
      <w:r>
        <w:rPr>
          <w:color w:val="231F20"/>
          <w:w w:val="105"/>
        </w:rPr>
        <w:t>of</w:t>
      </w:r>
      <w:r>
        <w:rPr>
          <w:color w:val="231F20"/>
          <w:spacing w:val="3"/>
          <w:w w:val="105"/>
        </w:rPr>
        <w:t> </w:t>
      </w:r>
      <w:r>
        <w:rPr>
          <w:color w:val="231F20"/>
          <w:w w:val="105"/>
        </w:rPr>
        <w:t>its</w:t>
      </w:r>
      <w:r>
        <w:rPr>
          <w:color w:val="231F20"/>
          <w:spacing w:val="-15"/>
          <w:w w:val="105"/>
        </w:rPr>
        <w:t> </w:t>
      </w:r>
      <w:r>
        <w:rPr>
          <w:color w:val="231F20"/>
          <w:spacing w:val="-4"/>
          <w:w w:val="105"/>
        </w:rPr>
        <w:t>evaluation </w:t>
      </w:r>
      <w:r>
        <w:rPr>
          <w:color w:val="231F20"/>
          <w:w w:val="105"/>
        </w:rPr>
        <w:t>of  </w:t>
      </w:r>
      <w:r>
        <w:rPr>
          <w:color w:val="231F20"/>
          <w:spacing w:val="-4"/>
          <w:w w:val="105"/>
        </w:rPr>
        <w:t>Kost Forer </w:t>
      </w:r>
      <w:r>
        <w:rPr>
          <w:color w:val="231F20"/>
          <w:spacing w:val="-5"/>
          <w:w w:val="105"/>
        </w:rPr>
        <w:t>Gabbay </w:t>
      </w:r>
      <w:r>
        <w:rPr>
          <w:color w:val="231F20"/>
          <w:w w:val="105"/>
        </w:rPr>
        <w:t>&amp; </w:t>
      </w:r>
      <w:r>
        <w:rPr>
          <w:color w:val="231F20"/>
          <w:spacing w:val="-3"/>
          <w:w w:val="105"/>
        </w:rPr>
        <w:t>Kasierer’s </w:t>
      </w:r>
      <w:r>
        <w:rPr>
          <w:color w:val="231F20"/>
          <w:w w:val="105"/>
        </w:rPr>
        <w:t>qualifications, performance and independence, the </w:t>
      </w:r>
      <w:r>
        <w:rPr>
          <w:color w:val="231F20"/>
          <w:spacing w:val="-3"/>
          <w:w w:val="105"/>
        </w:rPr>
        <w:t>Audit </w:t>
      </w:r>
      <w:r>
        <w:rPr>
          <w:color w:val="231F20"/>
          <w:w w:val="105"/>
        </w:rPr>
        <w:t>Committee   and the Board of Directors believe that the continued retention of </w:t>
      </w:r>
      <w:r>
        <w:rPr>
          <w:color w:val="231F20"/>
          <w:spacing w:val="-4"/>
          <w:w w:val="105"/>
        </w:rPr>
        <w:t>Kost Forer </w:t>
      </w:r>
      <w:r>
        <w:rPr>
          <w:color w:val="231F20"/>
          <w:spacing w:val="-5"/>
          <w:w w:val="105"/>
        </w:rPr>
        <w:t>Gabbay </w:t>
      </w:r>
      <w:r>
        <w:rPr>
          <w:color w:val="231F20"/>
          <w:w w:val="105"/>
        </w:rPr>
        <w:t>&amp; Kasierer to</w:t>
      </w:r>
      <w:r>
        <w:rPr>
          <w:color w:val="231F20"/>
          <w:spacing w:val="19"/>
          <w:w w:val="105"/>
        </w:rPr>
        <w:t> </w:t>
      </w:r>
      <w:r>
        <w:rPr>
          <w:color w:val="231F20"/>
          <w:w w:val="105"/>
        </w:rPr>
        <w:t>serve</w:t>
      </w:r>
    </w:p>
    <w:p>
      <w:pPr>
        <w:spacing w:after="0" w:line="244" w:lineRule="auto"/>
        <w:sectPr>
          <w:pgSz w:w="11880" w:h="15480"/>
          <w:pgMar w:header="0" w:footer="664" w:top="940" w:bottom="860" w:left="300" w:right="0"/>
        </w:sectPr>
      </w:pPr>
    </w:p>
    <w:p>
      <w:pPr>
        <w:pStyle w:val="BodyText"/>
        <w:spacing w:line="252" w:lineRule="auto" w:before="87"/>
        <w:ind w:left="1090" w:right="1386"/>
      </w:pPr>
      <w:r>
        <w:rPr>
          <w:color w:val="231F20"/>
          <w:w w:val="105"/>
        </w:rPr>
        <w:t>as the Company’s independent registered public accounting firm for the year ending December 31, 2023, is in the best interests of the Company and its shareholders. While the audit committee retains Kost Forer Gabbay &amp; Kasierer as our independent registered public accounting firm, the Board of Directors is submitting the selection of Kost Forer Gabbay &amp; Kasierer to the shareholders for reappointment upon the recommendation to do so by the audit committee.</w:t>
      </w:r>
    </w:p>
    <w:p>
      <w:pPr>
        <w:pStyle w:val="BodyText"/>
        <w:spacing w:line="252" w:lineRule="auto" w:before="160"/>
        <w:ind w:left="1090" w:right="1553" w:firstLine="399"/>
      </w:pPr>
      <w:r>
        <w:rPr>
          <w:color w:val="231F20"/>
          <w:w w:val="105"/>
        </w:rPr>
        <w:t>Information on fees paid to the Company’s independent registered public accounting firm and our audit committee’s policy to pre-approve all audit and non-audit services provided by our independent registered public accounting firm may be found in our Annual Report on Form 20-F, as amended, for the fiscal year ended December 31, 2022, filed with the SEC on May 15, 2023.</w:t>
      </w:r>
    </w:p>
    <w:p>
      <w:pPr>
        <w:pStyle w:val="BodyText"/>
        <w:spacing w:before="9"/>
      </w:pPr>
    </w:p>
    <w:p>
      <w:pPr>
        <w:pStyle w:val="Heading2"/>
      </w:pPr>
      <w:r>
        <w:rPr>
          <w:color w:val="231F20"/>
        </w:rPr>
        <w:t>Proposed Resolution</w:t>
      </w:r>
    </w:p>
    <w:p>
      <w:pPr>
        <w:pStyle w:val="BodyText"/>
        <w:spacing w:before="169"/>
        <w:ind w:left="1489"/>
      </w:pPr>
      <w:r>
        <w:rPr>
          <w:color w:val="231F20"/>
          <w:w w:val="110"/>
        </w:rPr>
        <w:t>You are requested to adopt the following resolution:</w:t>
      </w:r>
    </w:p>
    <w:p>
      <w:pPr>
        <w:pStyle w:val="BodyText"/>
        <w:spacing w:line="249" w:lineRule="auto" w:before="171"/>
        <w:ind w:left="1090" w:right="1553" w:firstLine="399"/>
      </w:pPr>
      <w:r>
        <w:rPr>
          <w:color w:val="231F20"/>
          <w:w w:val="105"/>
        </w:rPr>
        <w:t>“6. RESOLVED, that the reappointment of Kost Forer Gabbay &amp; Kasierer, a member of Ernst &amp; Young Global, as the Company’s independent registered public accounting firm for the year ending December 31, 2023 and until the next annual meeting of shareholders be approved, and that the Board, upon recommendation of the audit committee, be authorized to fix the remuneration of said independent registered public accounting firm in accordance with the volume and nature of their services.”</w:t>
      </w:r>
    </w:p>
    <w:p>
      <w:pPr>
        <w:pStyle w:val="BodyText"/>
        <w:rPr>
          <w:sz w:val="21"/>
        </w:rPr>
      </w:pPr>
    </w:p>
    <w:p>
      <w:pPr>
        <w:pStyle w:val="Heading2"/>
      </w:pPr>
      <w:r>
        <w:rPr>
          <w:color w:val="231F20"/>
        </w:rPr>
        <w:t>Vote Required</w:t>
      </w:r>
    </w:p>
    <w:p>
      <w:pPr>
        <w:pStyle w:val="BodyText"/>
        <w:spacing w:before="169"/>
        <w:ind w:left="1489"/>
      </w:pPr>
      <w:r>
        <w:rPr>
          <w:color w:val="231F20"/>
          <w:w w:val="105"/>
        </w:rPr>
        <w:t>The affirmative vote of an Ordinary Majority is required to adopt the foregoing resolution.</w:t>
      </w:r>
    </w:p>
    <w:p>
      <w:pPr>
        <w:pStyle w:val="BodyText"/>
        <w:spacing w:before="7"/>
        <w:rPr>
          <w:sz w:val="21"/>
        </w:rPr>
      </w:pPr>
    </w:p>
    <w:p>
      <w:pPr>
        <w:pStyle w:val="Heading2"/>
      </w:pPr>
      <w:r>
        <w:rPr>
          <w:color w:val="231F20"/>
        </w:rPr>
        <w:t>Board Recommendation</w:t>
      </w:r>
    </w:p>
    <w:p>
      <w:pPr>
        <w:pStyle w:val="BodyText"/>
        <w:spacing w:line="249" w:lineRule="auto" w:before="170"/>
        <w:ind w:left="1090" w:right="1705" w:firstLine="399"/>
      </w:pPr>
      <w:r>
        <w:rPr>
          <w:color w:val="231F20"/>
          <w:w w:val="110"/>
        </w:rPr>
        <w:t>THE</w:t>
      </w:r>
      <w:r>
        <w:rPr>
          <w:color w:val="231F20"/>
          <w:spacing w:val="-13"/>
          <w:w w:val="110"/>
        </w:rPr>
        <w:t> </w:t>
      </w:r>
      <w:r>
        <w:rPr>
          <w:color w:val="231F20"/>
          <w:w w:val="110"/>
        </w:rPr>
        <w:t>BOARD</w:t>
      </w:r>
      <w:r>
        <w:rPr>
          <w:color w:val="231F20"/>
          <w:spacing w:val="-12"/>
          <w:w w:val="110"/>
        </w:rPr>
        <w:t> </w:t>
      </w:r>
      <w:r>
        <w:rPr>
          <w:color w:val="231F20"/>
          <w:w w:val="110"/>
        </w:rPr>
        <w:t>OF</w:t>
      </w:r>
      <w:r>
        <w:rPr>
          <w:color w:val="231F20"/>
          <w:spacing w:val="-12"/>
          <w:w w:val="110"/>
        </w:rPr>
        <w:t> </w:t>
      </w:r>
      <w:r>
        <w:rPr>
          <w:color w:val="231F20"/>
          <w:w w:val="110"/>
        </w:rPr>
        <w:t>DIRECTORS</w:t>
      </w:r>
      <w:r>
        <w:rPr>
          <w:color w:val="231F20"/>
          <w:spacing w:val="-12"/>
          <w:w w:val="110"/>
        </w:rPr>
        <w:t> </w:t>
      </w:r>
      <w:r>
        <w:rPr>
          <w:color w:val="231F20"/>
          <w:w w:val="110"/>
        </w:rPr>
        <w:t>RECOMMENDS</w:t>
      </w:r>
      <w:r>
        <w:rPr>
          <w:color w:val="231F20"/>
          <w:spacing w:val="-12"/>
          <w:w w:val="110"/>
        </w:rPr>
        <w:t> </w:t>
      </w:r>
      <w:r>
        <w:rPr>
          <w:color w:val="231F20"/>
          <w:w w:val="110"/>
        </w:rPr>
        <w:t>A</w:t>
      </w:r>
      <w:r>
        <w:rPr>
          <w:color w:val="231F20"/>
          <w:spacing w:val="-12"/>
          <w:w w:val="110"/>
        </w:rPr>
        <w:t> </w:t>
      </w:r>
      <w:r>
        <w:rPr>
          <w:color w:val="231F20"/>
          <w:spacing w:val="-4"/>
          <w:w w:val="110"/>
        </w:rPr>
        <w:t>VOTE</w:t>
      </w:r>
      <w:r>
        <w:rPr>
          <w:color w:val="231F20"/>
          <w:spacing w:val="-12"/>
          <w:w w:val="110"/>
        </w:rPr>
        <w:t> </w:t>
      </w:r>
      <w:r>
        <w:rPr>
          <w:color w:val="231F20"/>
          <w:w w:val="110"/>
        </w:rPr>
        <w:t>“</w:t>
      </w:r>
      <w:r>
        <w:rPr>
          <w:b/>
          <w:color w:val="231F20"/>
          <w:w w:val="110"/>
        </w:rPr>
        <w:t>FOR</w:t>
      </w:r>
      <w:r>
        <w:rPr>
          <w:color w:val="231F20"/>
          <w:w w:val="110"/>
        </w:rPr>
        <w:t>”</w:t>
      </w:r>
      <w:r>
        <w:rPr>
          <w:color w:val="231F20"/>
          <w:spacing w:val="-22"/>
          <w:w w:val="110"/>
        </w:rPr>
        <w:t> </w:t>
      </w:r>
      <w:r>
        <w:rPr>
          <w:color w:val="231F20"/>
          <w:w w:val="110"/>
        </w:rPr>
        <w:t>THE</w:t>
      </w:r>
      <w:r>
        <w:rPr>
          <w:color w:val="231F20"/>
          <w:spacing w:val="-12"/>
          <w:w w:val="110"/>
        </w:rPr>
        <w:t> </w:t>
      </w:r>
      <w:r>
        <w:rPr>
          <w:color w:val="231F20"/>
          <w:w w:val="110"/>
        </w:rPr>
        <w:t>ADOPTION</w:t>
      </w:r>
      <w:r>
        <w:rPr>
          <w:color w:val="231F20"/>
          <w:spacing w:val="-12"/>
          <w:w w:val="110"/>
        </w:rPr>
        <w:t> </w:t>
      </w:r>
      <w:r>
        <w:rPr>
          <w:color w:val="231F20"/>
          <w:w w:val="110"/>
        </w:rPr>
        <w:t>OF</w:t>
      </w:r>
      <w:r>
        <w:rPr>
          <w:color w:val="231F20"/>
          <w:spacing w:val="-12"/>
          <w:w w:val="110"/>
        </w:rPr>
        <w:t> </w:t>
      </w:r>
      <w:r>
        <w:rPr>
          <w:color w:val="231F20"/>
          <w:w w:val="110"/>
        </w:rPr>
        <w:t>THE FOREGOING</w:t>
      </w:r>
      <w:r>
        <w:rPr>
          <w:color w:val="231F20"/>
          <w:spacing w:val="-6"/>
          <w:w w:val="110"/>
        </w:rPr>
        <w:t> </w:t>
      </w:r>
      <w:r>
        <w:rPr>
          <w:color w:val="231F20"/>
          <w:spacing w:val="-3"/>
          <w:w w:val="110"/>
        </w:rPr>
        <w:t>RESOLUTION.</w:t>
      </w:r>
    </w:p>
    <w:p>
      <w:pPr>
        <w:pStyle w:val="BodyText"/>
        <w:spacing w:before="9"/>
        <w:rPr>
          <w:sz w:val="11"/>
        </w:rPr>
      </w:pPr>
    </w:p>
    <w:p>
      <w:pPr>
        <w:pStyle w:val="Heading2"/>
        <w:spacing w:before="104"/>
        <w:ind w:left="1721" w:right="2017"/>
        <w:jc w:val="center"/>
      </w:pPr>
      <w:r>
        <w:rPr>
          <w:color w:val="231F20"/>
          <w:w w:val="105"/>
        </w:rPr>
        <w:t>PROPOSALS OF SHAREHOLDERS</w:t>
      </w:r>
    </w:p>
    <w:p>
      <w:pPr>
        <w:pStyle w:val="BodyText"/>
        <w:spacing w:before="7"/>
        <w:rPr>
          <w:b/>
          <w:sz w:val="21"/>
        </w:rPr>
      </w:pPr>
    </w:p>
    <w:p>
      <w:pPr>
        <w:spacing w:before="1"/>
        <w:ind w:left="1090" w:right="0" w:firstLine="0"/>
        <w:jc w:val="left"/>
        <w:rPr>
          <w:b/>
          <w:sz w:val="20"/>
        </w:rPr>
      </w:pPr>
      <w:r>
        <w:rPr>
          <w:b/>
          <w:color w:val="231F20"/>
          <w:sz w:val="20"/>
        </w:rPr>
        <w:t>Shareholder Proposals for the Annual General Meeting</w:t>
      </w:r>
    </w:p>
    <w:p>
      <w:pPr>
        <w:pStyle w:val="BodyText"/>
        <w:spacing w:line="249" w:lineRule="auto" w:before="169"/>
        <w:ind w:left="1090" w:right="1317" w:firstLine="399"/>
      </w:pPr>
      <w:r>
        <w:rPr>
          <w:color w:val="231F20"/>
          <w:spacing w:val="-3"/>
          <w:w w:val="105"/>
        </w:rPr>
        <w:t>Any </w:t>
      </w:r>
      <w:r>
        <w:rPr>
          <w:color w:val="231F20"/>
          <w:w w:val="105"/>
        </w:rPr>
        <w:t>shareholder of the Company who intends to present a proposal </w:t>
      </w:r>
      <w:r>
        <w:rPr>
          <w:color w:val="231F20"/>
          <w:spacing w:val="-3"/>
          <w:w w:val="105"/>
        </w:rPr>
        <w:t>at </w:t>
      </w:r>
      <w:r>
        <w:rPr>
          <w:color w:val="231F20"/>
          <w:w w:val="105"/>
        </w:rPr>
        <w:t>the Meeting must satisfy the requirements of the Israel Companies </w:t>
      </w:r>
      <w:r>
        <w:rPr>
          <w:color w:val="231F20"/>
          <w:spacing w:val="-9"/>
          <w:w w:val="105"/>
        </w:rPr>
        <w:t>Law. </w:t>
      </w:r>
      <w:r>
        <w:rPr>
          <w:color w:val="231F20"/>
          <w:w w:val="105"/>
        </w:rPr>
        <w:t>Under the Israel Companies</w:t>
      </w:r>
      <w:r>
        <w:rPr>
          <w:color w:val="231F20"/>
          <w:spacing w:val="-8"/>
          <w:w w:val="105"/>
        </w:rPr>
        <w:t> Law, </w:t>
      </w:r>
      <w:r>
        <w:rPr>
          <w:color w:val="231F20"/>
          <w:w w:val="105"/>
        </w:rPr>
        <w:t>only shareholders who </w:t>
      </w:r>
      <w:r>
        <w:rPr>
          <w:color w:val="231F20"/>
          <w:spacing w:val="-3"/>
          <w:w w:val="105"/>
        </w:rPr>
        <w:t>severally </w:t>
      </w:r>
      <w:r>
        <w:rPr>
          <w:color w:val="231F20"/>
          <w:w w:val="105"/>
        </w:rPr>
        <w:t>or jointly hold </w:t>
      </w:r>
      <w:r>
        <w:rPr>
          <w:color w:val="231F20"/>
          <w:spacing w:val="-3"/>
          <w:w w:val="105"/>
        </w:rPr>
        <w:t>at </w:t>
      </w:r>
      <w:r>
        <w:rPr>
          <w:color w:val="231F20"/>
          <w:w w:val="105"/>
        </w:rPr>
        <w:t>least 1% of the </w:t>
      </w:r>
      <w:r>
        <w:rPr>
          <w:color w:val="231F20"/>
          <w:spacing w:val="-3"/>
          <w:w w:val="105"/>
        </w:rPr>
        <w:t>Company’s </w:t>
      </w:r>
      <w:r>
        <w:rPr>
          <w:color w:val="231F20"/>
          <w:w w:val="105"/>
        </w:rPr>
        <w:t>outstanding voting rights are entitled to request that the</w:t>
      </w:r>
    </w:p>
    <w:p>
      <w:pPr>
        <w:pStyle w:val="BodyText"/>
        <w:spacing w:line="249" w:lineRule="auto" w:before="1"/>
        <w:ind w:left="1090" w:right="1456"/>
      </w:pPr>
      <w:r>
        <w:rPr>
          <w:color w:val="231F20"/>
          <w:w w:val="105"/>
        </w:rPr>
        <w:t>Board include a proposal in a future shareholders’ meeting, provided that the Board find such proposal to be appropriate </w:t>
      </w:r>
      <w:r>
        <w:rPr>
          <w:color w:val="231F20"/>
          <w:spacing w:val="-3"/>
          <w:w w:val="105"/>
        </w:rPr>
        <w:t>for </w:t>
      </w:r>
      <w:r>
        <w:rPr>
          <w:color w:val="231F20"/>
          <w:w w:val="105"/>
        </w:rPr>
        <w:t>consideration by shareholders </w:t>
      </w:r>
      <w:r>
        <w:rPr>
          <w:color w:val="231F20"/>
          <w:spacing w:val="-3"/>
          <w:w w:val="105"/>
        </w:rPr>
        <w:t>at </w:t>
      </w:r>
      <w:r>
        <w:rPr>
          <w:color w:val="231F20"/>
          <w:w w:val="105"/>
        </w:rPr>
        <w:t>such meeting. Such shareholders </w:t>
      </w:r>
      <w:r>
        <w:rPr>
          <w:color w:val="231F20"/>
          <w:spacing w:val="-3"/>
          <w:w w:val="105"/>
        </w:rPr>
        <w:t>may </w:t>
      </w:r>
      <w:r>
        <w:rPr>
          <w:color w:val="231F20"/>
          <w:w w:val="105"/>
        </w:rPr>
        <w:t>present proposals </w:t>
      </w:r>
      <w:r>
        <w:rPr>
          <w:color w:val="231F20"/>
          <w:spacing w:val="-3"/>
          <w:w w:val="105"/>
        </w:rPr>
        <w:t>for </w:t>
      </w:r>
      <w:r>
        <w:rPr>
          <w:color w:val="231F20"/>
          <w:w w:val="105"/>
        </w:rPr>
        <w:t>consideration </w:t>
      </w:r>
      <w:r>
        <w:rPr>
          <w:color w:val="231F20"/>
          <w:spacing w:val="-3"/>
          <w:w w:val="105"/>
        </w:rPr>
        <w:t>at </w:t>
      </w:r>
      <w:r>
        <w:rPr>
          <w:color w:val="231F20"/>
          <w:w w:val="105"/>
        </w:rPr>
        <w:t>the Meeting by submitting their proposals in writing to our Chief Financial Officer </w:t>
      </w:r>
      <w:r>
        <w:rPr>
          <w:color w:val="231F20"/>
          <w:spacing w:val="-3"/>
          <w:w w:val="105"/>
        </w:rPr>
        <w:t>at </w:t>
      </w:r>
      <w:r>
        <w:rPr>
          <w:color w:val="231F20"/>
          <w:w w:val="105"/>
        </w:rPr>
        <w:t>the following address: Ashdar Building — 2</w:t>
      </w:r>
      <w:r>
        <w:rPr>
          <w:color w:val="231F20"/>
          <w:w w:val="105"/>
          <w:vertAlign w:val="superscript"/>
        </w:rPr>
        <w:t>nd</w:t>
      </w:r>
      <w:r>
        <w:rPr>
          <w:color w:val="231F20"/>
          <w:w w:val="105"/>
          <w:vertAlign w:val="baseline"/>
        </w:rPr>
        <w:t> </w:t>
      </w:r>
      <w:r>
        <w:rPr>
          <w:color w:val="231F20"/>
          <w:spacing w:val="-4"/>
          <w:w w:val="105"/>
          <w:vertAlign w:val="baseline"/>
        </w:rPr>
        <w:t>Floor, </w:t>
      </w:r>
      <w:r>
        <w:rPr>
          <w:color w:val="231F20"/>
          <w:w w:val="105"/>
          <w:vertAlign w:val="baseline"/>
        </w:rPr>
        <w:t>90 </w:t>
      </w:r>
      <w:r>
        <w:rPr>
          <w:color w:val="231F20"/>
          <w:spacing w:val="-4"/>
          <w:w w:val="105"/>
          <w:vertAlign w:val="baseline"/>
        </w:rPr>
        <w:t>Yigal </w:t>
      </w:r>
      <w:r>
        <w:rPr>
          <w:color w:val="231F20"/>
          <w:w w:val="105"/>
          <w:vertAlign w:val="baseline"/>
        </w:rPr>
        <w:t>Alon Street, </w:t>
      </w:r>
      <w:r>
        <w:rPr>
          <w:color w:val="231F20"/>
          <w:spacing w:val="-6"/>
          <w:w w:val="105"/>
          <w:vertAlign w:val="baseline"/>
        </w:rPr>
        <w:t>Tel </w:t>
      </w:r>
      <w:r>
        <w:rPr>
          <w:color w:val="231F20"/>
          <w:spacing w:val="-9"/>
          <w:w w:val="105"/>
          <w:vertAlign w:val="baseline"/>
        </w:rPr>
        <w:t>Aviv, </w:t>
      </w:r>
      <w:r>
        <w:rPr>
          <w:color w:val="231F20"/>
          <w:w w:val="105"/>
          <w:vertAlign w:val="baseline"/>
        </w:rPr>
        <w:t>Israel, or by email to </w:t>
      </w:r>
      <w:hyperlink r:id="rId10">
        <w:r>
          <w:rPr>
            <w:color w:val="231F20"/>
            <w:w w:val="105"/>
            <w:vertAlign w:val="baseline"/>
          </w:rPr>
          <w:t>amirh@shahal.co.il. </w:t>
        </w:r>
      </w:hyperlink>
      <w:r>
        <w:rPr>
          <w:color w:val="231F20"/>
          <w:spacing w:val="-6"/>
          <w:w w:val="105"/>
          <w:vertAlign w:val="baseline"/>
        </w:rPr>
        <w:t>For </w:t>
      </w:r>
      <w:r>
        <w:rPr>
          <w:color w:val="231F20"/>
          <w:w w:val="105"/>
          <w:vertAlign w:val="baseline"/>
        </w:rPr>
        <w:t>a shareholder proposal to be considered </w:t>
      </w:r>
      <w:r>
        <w:rPr>
          <w:color w:val="231F20"/>
          <w:spacing w:val="-3"/>
          <w:w w:val="105"/>
          <w:vertAlign w:val="baseline"/>
        </w:rPr>
        <w:t>for </w:t>
      </w:r>
      <w:r>
        <w:rPr>
          <w:color w:val="231F20"/>
          <w:w w:val="105"/>
          <w:vertAlign w:val="baseline"/>
        </w:rPr>
        <w:t>inclusion in the Meeting, our Chief Financial Officer must receive the written proposal no later than seven (7) days from the date of the Notice of the </w:t>
      </w:r>
      <w:r>
        <w:rPr>
          <w:color w:val="231F20"/>
          <w:spacing w:val="-3"/>
          <w:w w:val="105"/>
          <w:vertAlign w:val="baseline"/>
        </w:rPr>
        <w:t>Annual </w:t>
      </w:r>
      <w:r>
        <w:rPr>
          <w:color w:val="231F20"/>
          <w:w w:val="105"/>
          <w:vertAlign w:val="baseline"/>
        </w:rPr>
        <w:t>General Meeting. If our Board determines that a shareholder proposal is duly and timely received and is appropriate under applicable Israeli </w:t>
      </w:r>
      <w:r>
        <w:rPr>
          <w:color w:val="231F20"/>
          <w:spacing w:val="-5"/>
          <w:w w:val="105"/>
          <w:vertAlign w:val="baseline"/>
        </w:rPr>
        <w:t>law </w:t>
      </w:r>
      <w:r>
        <w:rPr>
          <w:color w:val="231F20"/>
          <w:spacing w:val="-3"/>
          <w:w w:val="105"/>
          <w:vertAlign w:val="baseline"/>
        </w:rPr>
        <w:t>for </w:t>
      </w:r>
      <w:r>
        <w:rPr>
          <w:color w:val="231F20"/>
          <w:w w:val="105"/>
          <w:vertAlign w:val="baseline"/>
        </w:rPr>
        <w:t>inclusion in the agenda of the Meeting, we will publish a revised agenda </w:t>
      </w:r>
      <w:r>
        <w:rPr>
          <w:color w:val="231F20"/>
          <w:spacing w:val="-3"/>
          <w:w w:val="105"/>
          <w:vertAlign w:val="baseline"/>
        </w:rPr>
        <w:t>for </w:t>
      </w:r>
      <w:r>
        <w:rPr>
          <w:color w:val="231F20"/>
          <w:w w:val="105"/>
          <w:vertAlign w:val="baseline"/>
        </w:rPr>
        <w:t>the Meeting no later than fourteen (14) days from the date of the Notice of the </w:t>
      </w:r>
      <w:r>
        <w:rPr>
          <w:color w:val="231F20"/>
          <w:spacing w:val="-3"/>
          <w:w w:val="105"/>
          <w:vertAlign w:val="baseline"/>
        </w:rPr>
        <w:t>Annual </w:t>
      </w:r>
      <w:r>
        <w:rPr>
          <w:color w:val="231F20"/>
          <w:w w:val="105"/>
          <w:vertAlign w:val="baseline"/>
        </w:rPr>
        <w:t>General Meeting in a press release or a Current Report on </w:t>
      </w:r>
      <w:r>
        <w:rPr>
          <w:color w:val="231F20"/>
          <w:spacing w:val="-3"/>
          <w:w w:val="105"/>
          <w:vertAlign w:val="baseline"/>
        </w:rPr>
        <w:t>Form </w:t>
      </w:r>
      <w:r>
        <w:rPr>
          <w:color w:val="231F20"/>
          <w:w w:val="105"/>
          <w:vertAlign w:val="baseline"/>
        </w:rPr>
        <w:t>6-K furnished to the</w:t>
      </w:r>
      <w:r>
        <w:rPr>
          <w:color w:val="231F20"/>
          <w:spacing w:val="24"/>
          <w:w w:val="105"/>
          <w:vertAlign w:val="baseline"/>
        </w:rPr>
        <w:t> </w:t>
      </w:r>
      <w:r>
        <w:rPr>
          <w:color w:val="231F20"/>
          <w:w w:val="105"/>
          <w:vertAlign w:val="baseline"/>
        </w:rPr>
        <w:t>SEC.</w:t>
      </w:r>
    </w:p>
    <w:p>
      <w:pPr>
        <w:pStyle w:val="BodyText"/>
        <w:rPr>
          <w:sz w:val="21"/>
        </w:rPr>
      </w:pPr>
    </w:p>
    <w:p>
      <w:pPr>
        <w:pStyle w:val="Heading2"/>
        <w:spacing w:before="1"/>
        <w:ind w:left="1720" w:right="2017"/>
        <w:jc w:val="center"/>
      </w:pPr>
      <w:r>
        <w:rPr>
          <w:color w:val="231F20"/>
          <w:w w:val="105"/>
        </w:rPr>
        <w:t>OTHER BUSINESS</w:t>
      </w:r>
    </w:p>
    <w:p>
      <w:pPr>
        <w:pStyle w:val="BodyText"/>
        <w:spacing w:line="249" w:lineRule="auto" w:before="169"/>
        <w:ind w:left="1090" w:right="1322" w:firstLine="399"/>
      </w:pPr>
      <w:r>
        <w:rPr>
          <w:color w:val="231F20"/>
          <w:w w:val="105"/>
        </w:rPr>
        <w:t>The Board is not aware of any other matters that may be presented at the Meeting other than those described herein.</w:t>
      </w:r>
    </w:p>
    <w:p>
      <w:pPr>
        <w:pStyle w:val="BodyText"/>
        <w:spacing w:before="9"/>
        <w:rPr>
          <w:sz w:val="11"/>
        </w:rPr>
      </w:pPr>
    </w:p>
    <w:p>
      <w:pPr>
        <w:pStyle w:val="Heading2"/>
        <w:spacing w:before="104"/>
        <w:ind w:left="1721" w:right="2017"/>
        <w:jc w:val="center"/>
      </w:pPr>
      <w:r>
        <w:rPr>
          <w:color w:val="231F20"/>
          <w:w w:val="105"/>
        </w:rPr>
        <w:t>ADDITIONAL INFORMATION</w:t>
      </w:r>
    </w:p>
    <w:p>
      <w:pPr>
        <w:pStyle w:val="BodyText"/>
        <w:spacing w:line="249" w:lineRule="auto" w:before="169"/>
        <w:ind w:left="1090" w:right="1322" w:firstLine="399"/>
      </w:pPr>
      <w:r>
        <w:rPr>
          <w:color w:val="231F20"/>
          <w:w w:val="105"/>
        </w:rPr>
        <w:t>Our Annual Report on Form 20-F, as amended, for the fiscal year ended December 31, 2022, filed with the SEC on May 15, 2023, is available for viewing and download on the SEC’s website at </w:t>
      </w:r>
      <w:hyperlink r:id="rId9">
        <w:r>
          <w:rPr>
            <w:color w:val="231F20"/>
            <w:w w:val="105"/>
          </w:rPr>
          <w:t>www.sec.gov, </w:t>
        </w:r>
      </w:hyperlink>
      <w:r>
        <w:rPr>
          <w:color w:val="231F20"/>
          <w:w w:val="105"/>
        </w:rPr>
        <w:t>as well as under the Investors section of our website at </w:t>
      </w:r>
      <w:hyperlink r:id="rId6">
        <w:r>
          <w:rPr>
            <w:color w:val="231F20"/>
            <w:w w:val="105"/>
          </w:rPr>
          <w:t>www.shl-telemedicine.com. </w:t>
        </w:r>
      </w:hyperlink>
      <w:r>
        <w:rPr>
          <w:color w:val="231F20"/>
          <w:w w:val="105"/>
        </w:rPr>
        <w:t>In addition, our reports of</w:t>
      </w:r>
    </w:p>
    <w:p>
      <w:pPr>
        <w:spacing w:after="0" w:line="249" w:lineRule="auto"/>
        <w:sectPr>
          <w:pgSz w:w="11880" w:h="15480"/>
          <w:pgMar w:header="0" w:footer="664" w:top="940" w:bottom="860" w:left="300" w:right="0"/>
        </w:sectPr>
      </w:pPr>
    </w:p>
    <w:p>
      <w:pPr>
        <w:pStyle w:val="BodyText"/>
        <w:spacing w:line="249" w:lineRule="auto" w:before="87"/>
        <w:ind w:left="1090" w:right="1322"/>
      </w:pPr>
      <w:r>
        <w:rPr>
          <w:color w:val="231F20"/>
          <w:w w:val="105"/>
        </w:rPr>
        <w:t>foreign private issuer on </w:t>
      </w:r>
      <w:r>
        <w:rPr>
          <w:color w:val="231F20"/>
          <w:spacing w:val="-3"/>
          <w:w w:val="105"/>
        </w:rPr>
        <w:t>Form </w:t>
      </w:r>
      <w:r>
        <w:rPr>
          <w:color w:val="231F20"/>
          <w:w w:val="105"/>
        </w:rPr>
        <w:t>6-K are </w:t>
      </w:r>
      <w:r>
        <w:rPr>
          <w:color w:val="231F20"/>
          <w:spacing w:val="-4"/>
          <w:w w:val="105"/>
        </w:rPr>
        <w:t>available </w:t>
      </w:r>
      <w:r>
        <w:rPr>
          <w:color w:val="231F20"/>
          <w:w w:val="105"/>
        </w:rPr>
        <w:t>on the </w:t>
      </w:r>
      <w:r>
        <w:rPr>
          <w:color w:val="231F20"/>
          <w:spacing w:val="-4"/>
          <w:w w:val="105"/>
        </w:rPr>
        <w:t>SEC’s </w:t>
      </w:r>
      <w:r>
        <w:rPr>
          <w:color w:val="231F20"/>
          <w:w w:val="105"/>
        </w:rPr>
        <w:t>website </w:t>
      </w:r>
      <w:r>
        <w:rPr>
          <w:color w:val="231F20"/>
          <w:spacing w:val="-3"/>
          <w:w w:val="105"/>
        </w:rPr>
        <w:t>at </w:t>
      </w:r>
      <w:hyperlink r:id="rId9">
        <w:r>
          <w:rPr>
            <w:color w:val="231F20"/>
            <w:spacing w:val="-4"/>
            <w:w w:val="105"/>
          </w:rPr>
          <w:t>www.sec.gov. </w:t>
        </w:r>
      </w:hyperlink>
      <w:r>
        <w:rPr>
          <w:color w:val="231F20"/>
          <w:w w:val="105"/>
        </w:rPr>
        <w:t>Shareholders </w:t>
      </w:r>
      <w:r>
        <w:rPr>
          <w:color w:val="231F20"/>
          <w:spacing w:val="-3"/>
          <w:w w:val="105"/>
        </w:rPr>
        <w:t>may </w:t>
      </w:r>
      <w:r>
        <w:rPr>
          <w:color w:val="231F20"/>
          <w:w w:val="105"/>
        </w:rPr>
        <w:t>download a copy of </w:t>
      </w:r>
      <w:r>
        <w:rPr>
          <w:color w:val="231F20"/>
          <w:spacing w:val="-3"/>
          <w:w w:val="105"/>
        </w:rPr>
        <w:t>any </w:t>
      </w:r>
      <w:r>
        <w:rPr>
          <w:color w:val="231F20"/>
          <w:w w:val="105"/>
        </w:rPr>
        <w:t>of the foregoing documents without charge </w:t>
      </w:r>
      <w:r>
        <w:rPr>
          <w:color w:val="231F20"/>
          <w:spacing w:val="-3"/>
          <w:w w:val="105"/>
        </w:rPr>
        <w:t>at </w:t>
      </w:r>
      <w:hyperlink r:id="rId6">
        <w:r>
          <w:rPr>
            <w:color w:val="231F20"/>
            <w:w w:val="105"/>
          </w:rPr>
          <w:t>www.shl-telemedicine.com.</w:t>
        </w:r>
      </w:hyperlink>
    </w:p>
    <w:p>
      <w:pPr>
        <w:pStyle w:val="BodyText"/>
        <w:spacing w:line="249" w:lineRule="auto" w:before="161"/>
        <w:ind w:left="1090" w:right="1382" w:firstLine="399"/>
      </w:pPr>
      <w:r>
        <w:rPr>
          <w:color w:val="231F20"/>
          <w:spacing w:val="-10"/>
          <w:w w:val="105"/>
        </w:rPr>
        <w:t>We </w:t>
      </w:r>
      <w:r>
        <w:rPr>
          <w:color w:val="231F20"/>
          <w:w w:val="105"/>
        </w:rPr>
        <w:t>are subject to the information reporting requirements of the </w:t>
      </w:r>
      <w:r>
        <w:rPr>
          <w:color w:val="231F20"/>
          <w:spacing w:val="-7"/>
          <w:w w:val="105"/>
        </w:rPr>
        <w:t>U.S. </w:t>
      </w:r>
      <w:r>
        <w:rPr>
          <w:color w:val="231F20"/>
          <w:w w:val="105"/>
        </w:rPr>
        <w:t>Securities Exchange Act of 1934, as</w:t>
      </w:r>
      <w:r>
        <w:rPr>
          <w:color w:val="231F20"/>
          <w:spacing w:val="-16"/>
          <w:w w:val="105"/>
        </w:rPr>
        <w:t> </w:t>
      </w:r>
      <w:r>
        <w:rPr>
          <w:color w:val="231F20"/>
          <w:w w:val="105"/>
        </w:rPr>
        <w:t>amended</w:t>
      </w:r>
      <w:r>
        <w:rPr>
          <w:color w:val="231F20"/>
          <w:spacing w:val="-16"/>
          <w:w w:val="105"/>
        </w:rPr>
        <w:t> </w:t>
      </w:r>
      <w:r>
        <w:rPr>
          <w:color w:val="231F20"/>
          <w:w w:val="105"/>
        </w:rPr>
        <w:t>(the</w:t>
      </w:r>
      <w:r>
        <w:rPr>
          <w:color w:val="231F20"/>
          <w:spacing w:val="-16"/>
          <w:w w:val="105"/>
        </w:rPr>
        <w:t> </w:t>
      </w:r>
      <w:r>
        <w:rPr>
          <w:color w:val="231F20"/>
          <w:w w:val="105"/>
        </w:rPr>
        <w:t>“</w:t>
      </w:r>
      <w:r>
        <w:rPr>
          <w:b/>
          <w:color w:val="231F20"/>
          <w:w w:val="105"/>
        </w:rPr>
        <w:t>Exchange</w:t>
      </w:r>
      <w:r>
        <w:rPr>
          <w:b/>
          <w:color w:val="231F20"/>
          <w:spacing w:val="-16"/>
          <w:w w:val="105"/>
        </w:rPr>
        <w:t> </w:t>
      </w:r>
      <w:r>
        <w:rPr>
          <w:b/>
          <w:color w:val="231F20"/>
          <w:w w:val="105"/>
        </w:rPr>
        <w:t>Act</w:t>
      </w:r>
      <w:r>
        <w:rPr>
          <w:color w:val="231F20"/>
          <w:w w:val="105"/>
        </w:rPr>
        <w:t>”),</w:t>
      </w:r>
      <w:r>
        <w:rPr>
          <w:color w:val="231F20"/>
          <w:spacing w:val="-16"/>
          <w:w w:val="105"/>
        </w:rPr>
        <w:t> </w:t>
      </w:r>
      <w:r>
        <w:rPr>
          <w:color w:val="231F20"/>
          <w:w w:val="105"/>
        </w:rPr>
        <w:t>applicable</w:t>
      </w:r>
      <w:r>
        <w:rPr>
          <w:color w:val="231F20"/>
          <w:spacing w:val="-16"/>
          <w:w w:val="105"/>
        </w:rPr>
        <w:t> </w:t>
      </w:r>
      <w:r>
        <w:rPr>
          <w:color w:val="231F20"/>
          <w:w w:val="105"/>
        </w:rPr>
        <w:t>to</w:t>
      </w:r>
      <w:r>
        <w:rPr>
          <w:color w:val="231F20"/>
          <w:spacing w:val="-16"/>
          <w:w w:val="105"/>
        </w:rPr>
        <w:t> </w:t>
      </w:r>
      <w:r>
        <w:rPr>
          <w:color w:val="231F20"/>
          <w:w w:val="105"/>
        </w:rPr>
        <w:t>foreign</w:t>
      </w:r>
      <w:r>
        <w:rPr>
          <w:color w:val="231F20"/>
          <w:spacing w:val="-16"/>
          <w:w w:val="105"/>
        </w:rPr>
        <w:t> </w:t>
      </w:r>
      <w:r>
        <w:rPr>
          <w:color w:val="231F20"/>
          <w:w w:val="105"/>
        </w:rPr>
        <w:t>private</w:t>
      </w:r>
      <w:r>
        <w:rPr>
          <w:color w:val="231F20"/>
          <w:spacing w:val="-16"/>
          <w:w w:val="105"/>
        </w:rPr>
        <w:t> </w:t>
      </w:r>
      <w:r>
        <w:rPr>
          <w:color w:val="231F20"/>
          <w:w w:val="105"/>
        </w:rPr>
        <w:t>issuers.</w:t>
      </w:r>
      <w:r>
        <w:rPr>
          <w:color w:val="231F20"/>
          <w:spacing w:val="-16"/>
          <w:w w:val="105"/>
        </w:rPr>
        <w:t> </w:t>
      </w:r>
      <w:r>
        <w:rPr>
          <w:color w:val="231F20"/>
          <w:spacing w:val="-10"/>
          <w:w w:val="105"/>
        </w:rPr>
        <w:t>We</w:t>
      </w:r>
      <w:r>
        <w:rPr>
          <w:color w:val="231F20"/>
          <w:spacing w:val="-16"/>
          <w:w w:val="105"/>
        </w:rPr>
        <w:t> </w:t>
      </w:r>
      <w:r>
        <w:rPr>
          <w:color w:val="231F20"/>
          <w:w w:val="105"/>
        </w:rPr>
        <w:t>fulfill</w:t>
      </w:r>
      <w:r>
        <w:rPr>
          <w:color w:val="231F20"/>
          <w:spacing w:val="-16"/>
          <w:w w:val="105"/>
        </w:rPr>
        <w:t> </w:t>
      </w:r>
      <w:r>
        <w:rPr>
          <w:color w:val="231F20"/>
          <w:w w:val="105"/>
        </w:rPr>
        <w:t>these</w:t>
      </w:r>
      <w:r>
        <w:rPr>
          <w:color w:val="231F20"/>
          <w:spacing w:val="-16"/>
          <w:w w:val="105"/>
        </w:rPr>
        <w:t> </w:t>
      </w:r>
      <w:r>
        <w:rPr>
          <w:color w:val="231F20"/>
          <w:w w:val="105"/>
        </w:rPr>
        <w:t>requirements</w:t>
      </w:r>
      <w:r>
        <w:rPr>
          <w:color w:val="231F20"/>
          <w:spacing w:val="-16"/>
          <w:w w:val="105"/>
        </w:rPr>
        <w:t> </w:t>
      </w:r>
      <w:r>
        <w:rPr>
          <w:color w:val="231F20"/>
          <w:w w:val="105"/>
        </w:rPr>
        <w:t>by</w:t>
      </w:r>
      <w:r>
        <w:rPr>
          <w:color w:val="231F20"/>
          <w:spacing w:val="-16"/>
          <w:w w:val="105"/>
        </w:rPr>
        <w:t> </w:t>
      </w:r>
      <w:r>
        <w:rPr>
          <w:color w:val="231F20"/>
          <w:w w:val="105"/>
        </w:rPr>
        <w:t>filing reports</w:t>
      </w:r>
      <w:r>
        <w:rPr>
          <w:color w:val="231F20"/>
          <w:spacing w:val="-4"/>
          <w:w w:val="105"/>
        </w:rPr>
        <w:t> </w:t>
      </w:r>
      <w:r>
        <w:rPr>
          <w:color w:val="231F20"/>
          <w:w w:val="105"/>
        </w:rPr>
        <w:t>with</w:t>
      </w:r>
      <w:r>
        <w:rPr>
          <w:color w:val="231F20"/>
          <w:spacing w:val="-3"/>
          <w:w w:val="105"/>
        </w:rPr>
        <w:t> </w:t>
      </w:r>
      <w:r>
        <w:rPr>
          <w:color w:val="231F20"/>
          <w:w w:val="105"/>
        </w:rPr>
        <w:t>the</w:t>
      </w:r>
      <w:r>
        <w:rPr>
          <w:color w:val="231F20"/>
          <w:spacing w:val="-4"/>
          <w:w w:val="105"/>
        </w:rPr>
        <w:t> </w:t>
      </w:r>
      <w:r>
        <w:rPr>
          <w:color w:val="231F20"/>
          <w:w w:val="105"/>
        </w:rPr>
        <w:t>SEC.</w:t>
      </w:r>
      <w:r>
        <w:rPr>
          <w:color w:val="231F20"/>
          <w:spacing w:val="-3"/>
          <w:w w:val="105"/>
        </w:rPr>
        <w:t> </w:t>
      </w:r>
      <w:r>
        <w:rPr>
          <w:color w:val="231F20"/>
          <w:w w:val="105"/>
        </w:rPr>
        <w:t>Our</w:t>
      </w:r>
      <w:r>
        <w:rPr>
          <w:color w:val="231F20"/>
          <w:spacing w:val="-3"/>
          <w:w w:val="105"/>
        </w:rPr>
        <w:t> </w:t>
      </w:r>
      <w:r>
        <w:rPr>
          <w:color w:val="231F20"/>
          <w:w w:val="105"/>
        </w:rPr>
        <w:t>SEC</w:t>
      </w:r>
      <w:r>
        <w:rPr>
          <w:color w:val="231F20"/>
          <w:spacing w:val="-4"/>
          <w:w w:val="105"/>
        </w:rPr>
        <w:t> </w:t>
      </w:r>
      <w:r>
        <w:rPr>
          <w:color w:val="231F20"/>
          <w:w w:val="105"/>
        </w:rPr>
        <w:t>filings</w:t>
      </w:r>
      <w:r>
        <w:rPr>
          <w:color w:val="231F20"/>
          <w:spacing w:val="-3"/>
          <w:w w:val="105"/>
        </w:rPr>
        <w:t> </w:t>
      </w:r>
      <w:r>
        <w:rPr>
          <w:color w:val="231F20"/>
          <w:w w:val="105"/>
        </w:rPr>
        <w:t>are</w:t>
      </w:r>
      <w:r>
        <w:rPr>
          <w:color w:val="231F20"/>
          <w:spacing w:val="-3"/>
          <w:w w:val="105"/>
        </w:rPr>
        <w:t> </w:t>
      </w:r>
      <w:r>
        <w:rPr>
          <w:color w:val="231F20"/>
          <w:spacing w:val="-4"/>
          <w:w w:val="105"/>
        </w:rPr>
        <w:t>available </w:t>
      </w:r>
      <w:r>
        <w:rPr>
          <w:color w:val="231F20"/>
          <w:w w:val="105"/>
        </w:rPr>
        <w:t>to</w:t>
      </w:r>
      <w:r>
        <w:rPr>
          <w:color w:val="231F20"/>
          <w:spacing w:val="-3"/>
          <w:w w:val="105"/>
        </w:rPr>
        <w:t> </w:t>
      </w:r>
      <w:r>
        <w:rPr>
          <w:color w:val="231F20"/>
          <w:w w:val="105"/>
        </w:rPr>
        <w:t>the</w:t>
      </w:r>
      <w:r>
        <w:rPr>
          <w:color w:val="231F20"/>
          <w:spacing w:val="-3"/>
          <w:w w:val="105"/>
        </w:rPr>
        <w:t> </w:t>
      </w:r>
      <w:r>
        <w:rPr>
          <w:color w:val="231F20"/>
          <w:w w:val="105"/>
        </w:rPr>
        <w:t>public</w:t>
      </w:r>
      <w:r>
        <w:rPr>
          <w:color w:val="231F20"/>
          <w:spacing w:val="-4"/>
          <w:w w:val="105"/>
        </w:rPr>
        <w:t> </w:t>
      </w:r>
      <w:r>
        <w:rPr>
          <w:color w:val="231F20"/>
          <w:w w:val="105"/>
        </w:rPr>
        <w:t>on</w:t>
      </w:r>
      <w:r>
        <w:rPr>
          <w:color w:val="231F20"/>
          <w:spacing w:val="-3"/>
          <w:w w:val="105"/>
        </w:rPr>
        <w:t> </w:t>
      </w:r>
      <w:r>
        <w:rPr>
          <w:color w:val="231F20"/>
          <w:w w:val="105"/>
        </w:rPr>
        <w:t>the</w:t>
      </w:r>
      <w:r>
        <w:rPr>
          <w:color w:val="231F20"/>
          <w:spacing w:val="-3"/>
          <w:w w:val="105"/>
        </w:rPr>
        <w:t> </w:t>
      </w:r>
      <w:r>
        <w:rPr>
          <w:color w:val="231F20"/>
          <w:spacing w:val="-4"/>
          <w:w w:val="105"/>
        </w:rPr>
        <w:t>SEC’s </w:t>
      </w:r>
      <w:r>
        <w:rPr>
          <w:color w:val="231F20"/>
          <w:w w:val="105"/>
        </w:rPr>
        <w:t>website</w:t>
      </w:r>
      <w:r>
        <w:rPr>
          <w:color w:val="231F20"/>
          <w:spacing w:val="-3"/>
          <w:w w:val="105"/>
        </w:rPr>
        <w:t> at </w:t>
      </w:r>
      <w:hyperlink r:id="rId9">
        <w:r>
          <w:rPr>
            <w:color w:val="231F20"/>
            <w:spacing w:val="-4"/>
            <w:w w:val="105"/>
          </w:rPr>
          <w:t>www.sec.gov. </w:t>
        </w:r>
      </w:hyperlink>
      <w:r>
        <w:rPr>
          <w:color w:val="231F20"/>
          <w:w w:val="105"/>
        </w:rPr>
        <w:t>As</w:t>
      </w:r>
    </w:p>
    <w:p>
      <w:pPr>
        <w:pStyle w:val="BodyText"/>
        <w:spacing w:line="249" w:lineRule="auto"/>
        <w:ind w:left="1090" w:right="1290"/>
      </w:pPr>
      <w:r>
        <w:rPr>
          <w:color w:val="231F20"/>
          <w:w w:val="105"/>
        </w:rPr>
        <w:t>a foreign private issuer, we are exempt from the rules under the Exchange Act related to the furnishing and content of proxy statements. The circulation of this Proxy Statement should not be taken as an admission that we are subject to the proxy rules under the Exchange Act.</w:t>
      </w:r>
    </w:p>
    <w:p>
      <w:pPr>
        <w:pStyle w:val="BodyText"/>
        <w:spacing w:before="11"/>
      </w:pPr>
    </w:p>
    <w:p>
      <w:pPr>
        <w:pStyle w:val="BodyText"/>
        <w:ind w:left="5879"/>
      </w:pPr>
      <w:r>
        <w:rPr>
          <w:color w:val="231F20"/>
          <w:w w:val="105"/>
        </w:rPr>
        <w:t>By Order of the Board of Directors,</w:t>
      </w:r>
    </w:p>
    <w:p>
      <w:pPr>
        <w:pStyle w:val="BodyText"/>
        <w:spacing w:before="7"/>
        <w:rPr>
          <w:sz w:val="21"/>
        </w:rPr>
      </w:pPr>
    </w:p>
    <w:p>
      <w:pPr>
        <w:pStyle w:val="BodyText"/>
        <w:spacing w:line="290" w:lineRule="auto"/>
        <w:ind w:left="5879" w:right="3971"/>
      </w:pPr>
      <w:r>
        <w:rPr/>
        <w:pict>
          <v:line style="position:absolute;mso-position-horizontal-relative:page;mso-position-vertical-relative:paragraph;z-index:-16509440" from="308.976013pt,13.57565pt" to="524.500013pt,13.57565pt" stroked="true" strokeweight=".499pt" strokecolor="#231f20">
            <v:stroke dashstyle="solid"/>
            <w10:wrap type="none"/>
          </v:line>
        </w:pict>
      </w:r>
      <w:r>
        <w:rPr>
          <w:color w:val="231F20"/>
          <w:w w:val="105"/>
        </w:rPr>
        <w:t>/s/ Yariv Alroy Yariv Alroy</w:t>
      </w:r>
    </w:p>
    <w:p>
      <w:pPr>
        <w:pStyle w:val="BodyText"/>
        <w:spacing w:line="192" w:lineRule="exact"/>
        <w:ind w:left="5879"/>
      </w:pPr>
      <w:r>
        <w:rPr>
          <w:color w:val="231F20"/>
          <w:w w:val="105"/>
        </w:rPr>
        <w:t>Co-Chairman of the Board of Directors</w:t>
      </w:r>
    </w:p>
    <w:p>
      <w:pPr>
        <w:pStyle w:val="BodyText"/>
        <w:spacing w:before="169"/>
        <w:ind w:left="1090"/>
      </w:pPr>
      <w:r>
        <w:rPr>
          <w:color w:val="231F20"/>
        </w:rPr>
        <w:t>December 28, 2023</w:t>
      </w:r>
    </w:p>
    <w:p>
      <w:pPr>
        <w:spacing w:after="0"/>
        <w:sectPr>
          <w:pgSz w:w="11880" w:h="15480"/>
          <w:pgMar w:header="0" w:footer="664" w:top="940" w:bottom="860" w:left="300" w:right="0"/>
        </w:sectPr>
      </w:pPr>
    </w:p>
    <w:p>
      <w:pPr>
        <w:pStyle w:val="BodyText"/>
        <w:rPr>
          <w:sz w:val="26"/>
        </w:rPr>
      </w:pPr>
    </w:p>
    <w:p>
      <w:pPr>
        <w:pStyle w:val="BodyText"/>
        <w:rPr>
          <w:sz w:val="26"/>
        </w:rPr>
      </w:pPr>
    </w:p>
    <w:p>
      <w:pPr>
        <w:pStyle w:val="BodyText"/>
        <w:rPr>
          <w:sz w:val="26"/>
        </w:rPr>
      </w:pPr>
    </w:p>
    <w:p>
      <w:pPr>
        <w:pStyle w:val="BodyText"/>
        <w:rPr>
          <w:sz w:val="26"/>
        </w:rPr>
      </w:pPr>
    </w:p>
    <w:p>
      <w:pPr>
        <w:pStyle w:val="ListParagraph"/>
        <w:numPr>
          <w:ilvl w:val="0"/>
          <w:numId w:val="4"/>
        </w:numPr>
        <w:tabs>
          <w:tab w:pos="1489" w:val="left" w:leader="none"/>
          <w:tab w:pos="1490" w:val="left" w:leader="none"/>
        </w:tabs>
        <w:spacing w:line="240" w:lineRule="auto" w:before="220" w:after="0"/>
        <w:ind w:left="1489" w:right="0" w:hanging="400"/>
        <w:jc w:val="left"/>
        <w:rPr>
          <w:b/>
          <w:sz w:val="20"/>
        </w:rPr>
      </w:pPr>
      <w:r>
        <w:rPr>
          <w:b/>
          <w:color w:val="231F20"/>
          <w:spacing w:val="-3"/>
          <w:w w:val="95"/>
          <w:sz w:val="20"/>
          <w:u w:val="single" w:color="231F20"/>
        </w:rPr>
        <w:t>Objectives</w:t>
      </w:r>
    </w:p>
    <w:p>
      <w:pPr>
        <w:pStyle w:val="BodyText"/>
        <w:rPr>
          <w:b/>
          <w:sz w:val="26"/>
        </w:rPr>
      </w:pPr>
      <w:r>
        <w:rPr/>
        <w:br w:type="column"/>
      </w:r>
      <w:r>
        <w:rPr>
          <w:b/>
          <w:sz w:val="26"/>
        </w:rPr>
      </w:r>
    </w:p>
    <w:p>
      <w:pPr>
        <w:pStyle w:val="BodyText"/>
        <w:spacing w:before="9"/>
        <w:rPr>
          <w:b/>
          <w:sz w:val="23"/>
        </w:rPr>
      </w:pPr>
    </w:p>
    <w:p>
      <w:pPr>
        <w:spacing w:before="0"/>
        <w:ind w:left="834" w:right="13" w:firstLine="0"/>
        <w:jc w:val="center"/>
        <w:rPr>
          <w:b/>
          <w:sz w:val="20"/>
        </w:rPr>
      </w:pPr>
      <w:r>
        <w:rPr>
          <w:b/>
          <w:color w:val="231F20"/>
          <w:w w:val="105"/>
          <w:sz w:val="20"/>
          <w:u w:val="single" w:color="231F20"/>
        </w:rPr>
        <w:t>SHL TELEMEDICINE LTD.</w:t>
      </w:r>
    </w:p>
    <w:p>
      <w:pPr>
        <w:spacing w:before="135"/>
        <w:ind w:left="835" w:right="13" w:firstLine="0"/>
        <w:jc w:val="center"/>
        <w:rPr>
          <w:b/>
          <w:sz w:val="20"/>
        </w:rPr>
      </w:pPr>
      <w:r>
        <w:rPr>
          <w:b/>
          <w:color w:val="231F20"/>
          <w:sz w:val="20"/>
          <w:u w:val="single" w:color="231F20"/>
        </w:rPr>
        <w:t>Compensation</w:t>
      </w:r>
      <w:r>
        <w:rPr>
          <w:b/>
          <w:color w:val="231F20"/>
          <w:spacing w:val="-26"/>
          <w:sz w:val="20"/>
          <w:u w:val="single" w:color="231F20"/>
        </w:rPr>
        <w:t> </w:t>
      </w:r>
      <w:r>
        <w:rPr>
          <w:b/>
          <w:color w:val="231F20"/>
          <w:sz w:val="20"/>
          <w:u w:val="single" w:color="231F20"/>
        </w:rPr>
        <w:t>Policy</w:t>
      </w:r>
      <w:r>
        <w:rPr>
          <w:b/>
          <w:color w:val="231F20"/>
          <w:spacing w:val="-26"/>
          <w:sz w:val="20"/>
          <w:u w:val="single" w:color="231F20"/>
        </w:rPr>
        <w:t> </w:t>
      </w:r>
      <w:r>
        <w:rPr>
          <w:b/>
          <w:color w:val="231F20"/>
          <w:sz w:val="20"/>
          <w:u w:val="single" w:color="231F20"/>
        </w:rPr>
        <w:t>for</w:t>
      </w:r>
      <w:r>
        <w:rPr>
          <w:b/>
          <w:color w:val="231F20"/>
          <w:spacing w:val="-26"/>
          <w:sz w:val="20"/>
          <w:u w:val="single" w:color="231F20"/>
        </w:rPr>
        <w:t> </w:t>
      </w:r>
      <w:r>
        <w:rPr>
          <w:b/>
          <w:color w:val="231F20"/>
          <w:sz w:val="20"/>
          <w:u w:val="single" w:color="231F20"/>
        </w:rPr>
        <w:t>Executive</w:t>
      </w:r>
      <w:r>
        <w:rPr>
          <w:b/>
          <w:color w:val="231F20"/>
          <w:spacing w:val="-26"/>
          <w:sz w:val="20"/>
          <w:u w:val="single" w:color="231F20"/>
        </w:rPr>
        <w:t> </w:t>
      </w:r>
      <w:r>
        <w:rPr>
          <w:b/>
          <w:color w:val="231F20"/>
          <w:sz w:val="20"/>
          <w:u w:val="single" w:color="231F20"/>
        </w:rPr>
        <w:t>Officers</w:t>
      </w:r>
      <w:r>
        <w:rPr>
          <w:b/>
          <w:color w:val="231F20"/>
          <w:spacing w:val="-26"/>
          <w:sz w:val="20"/>
          <w:u w:val="single" w:color="231F20"/>
        </w:rPr>
        <w:t> </w:t>
      </w:r>
      <w:r>
        <w:rPr>
          <w:b/>
          <w:color w:val="231F20"/>
          <w:sz w:val="20"/>
          <w:u w:val="single" w:color="231F20"/>
        </w:rPr>
        <w:t>and</w:t>
      </w:r>
      <w:r>
        <w:rPr>
          <w:b/>
          <w:color w:val="231F20"/>
          <w:spacing w:val="-26"/>
          <w:sz w:val="20"/>
          <w:u w:val="single" w:color="231F20"/>
        </w:rPr>
        <w:t> </w:t>
      </w:r>
      <w:r>
        <w:rPr>
          <w:b/>
          <w:color w:val="231F20"/>
          <w:sz w:val="20"/>
          <w:u w:val="single" w:color="231F20"/>
        </w:rPr>
        <w:t>Directors</w:t>
      </w:r>
    </w:p>
    <w:p>
      <w:pPr>
        <w:spacing w:before="87"/>
        <w:ind w:left="1090" w:right="0" w:firstLine="0"/>
        <w:jc w:val="left"/>
        <w:rPr>
          <w:b/>
          <w:sz w:val="20"/>
        </w:rPr>
      </w:pPr>
      <w:r>
        <w:rPr/>
        <w:br w:type="column"/>
      </w:r>
      <w:r>
        <w:rPr>
          <w:b/>
          <w:color w:val="231F20"/>
          <w:sz w:val="20"/>
        </w:rPr>
        <w:t>Appendix A</w:t>
      </w:r>
    </w:p>
    <w:p>
      <w:pPr>
        <w:spacing w:after="0"/>
        <w:jc w:val="left"/>
        <w:rPr>
          <w:sz w:val="20"/>
        </w:rPr>
        <w:sectPr>
          <w:footerReference w:type="default" r:id="rId16"/>
          <w:pgSz w:w="11880" w:h="15480"/>
          <w:pgMar w:footer="664" w:header="0" w:top="940" w:bottom="860" w:left="300" w:right="0"/>
          <w:pgNumType w:start="1"/>
          <w:cols w:num="3" w:equalWidth="0">
            <w:col w:w="2346" w:space="40"/>
            <w:col w:w="5688" w:space="43"/>
            <w:col w:w="3463"/>
          </w:cols>
        </w:sectPr>
      </w:pPr>
    </w:p>
    <w:p>
      <w:pPr>
        <w:pStyle w:val="BodyText"/>
        <w:spacing w:line="256" w:lineRule="auto" w:before="170"/>
        <w:ind w:left="1489" w:right="1563"/>
      </w:pPr>
      <w:r>
        <w:rPr>
          <w:color w:val="231F20"/>
          <w:w w:val="105"/>
        </w:rPr>
        <w:t>This document sets forth the compensation policy for Executive Officers and Directors of SHL Telemedicine Ltd. (the “</w:t>
      </w:r>
      <w:r>
        <w:rPr>
          <w:b/>
          <w:color w:val="231F20"/>
          <w:w w:val="105"/>
        </w:rPr>
        <w:t>Company</w:t>
      </w:r>
      <w:r>
        <w:rPr>
          <w:color w:val="231F20"/>
          <w:w w:val="105"/>
        </w:rPr>
        <w:t>”), in accordance with the requirements of the Companies Law (as such terms are defined below):</w:t>
      </w:r>
    </w:p>
    <w:p>
      <w:pPr>
        <w:pStyle w:val="ListParagraph"/>
        <w:numPr>
          <w:ilvl w:val="1"/>
          <w:numId w:val="4"/>
        </w:numPr>
        <w:tabs>
          <w:tab w:pos="1889" w:val="left" w:leader="none"/>
        </w:tabs>
        <w:spacing w:line="254" w:lineRule="auto" w:before="157" w:after="0"/>
        <w:ind w:left="1888" w:right="1387" w:hanging="400"/>
        <w:jc w:val="left"/>
        <w:rPr>
          <w:sz w:val="20"/>
        </w:rPr>
      </w:pPr>
      <w:r>
        <w:rPr>
          <w:color w:val="231F20"/>
          <w:spacing w:val="-3"/>
          <w:w w:val="105"/>
          <w:sz w:val="20"/>
        </w:rPr>
        <w:t>Several </w:t>
      </w:r>
      <w:r>
        <w:rPr>
          <w:color w:val="231F20"/>
          <w:w w:val="105"/>
          <w:sz w:val="20"/>
        </w:rPr>
        <w:t>main principles and objectives form the basis of the compensation policy: (a) </w:t>
      </w:r>
      <w:r>
        <w:rPr>
          <w:color w:val="231F20"/>
          <w:spacing w:val="-11"/>
          <w:w w:val="105"/>
          <w:sz w:val="20"/>
        </w:rPr>
        <w:t>To </w:t>
      </w:r>
      <w:r>
        <w:rPr>
          <w:color w:val="231F20"/>
          <w:w w:val="105"/>
          <w:sz w:val="20"/>
        </w:rPr>
        <w:t>promote the </w:t>
      </w:r>
      <w:r>
        <w:rPr>
          <w:color w:val="231F20"/>
          <w:spacing w:val="-3"/>
          <w:w w:val="105"/>
          <w:sz w:val="20"/>
        </w:rPr>
        <w:t>Company’s </w:t>
      </w:r>
      <w:r>
        <w:rPr>
          <w:color w:val="231F20"/>
          <w:w w:val="105"/>
          <w:sz w:val="20"/>
        </w:rPr>
        <w:t>mission, long term goals and targets; (b) </w:t>
      </w:r>
      <w:r>
        <w:rPr>
          <w:color w:val="231F20"/>
          <w:spacing w:val="-11"/>
          <w:w w:val="105"/>
          <w:sz w:val="20"/>
        </w:rPr>
        <w:t>To </w:t>
      </w:r>
      <w:r>
        <w:rPr>
          <w:color w:val="231F20"/>
          <w:w w:val="105"/>
          <w:sz w:val="20"/>
        </w:rPr>
        <w:t>create appropriate incentives </w:t>
      </w:r>
      <w:r>
        <w:rPr>
          <w:color w:val="231F20"/>
          <w:spacing w:val="-3"/>
          <w:w w:val="105"/>
          <w:sz w:val="20"/>
        </w:rPr>
        <w:t>for </w:t>
      </w:r>
      <w:r>
        <w:rPr>
          <w:color w:val="231F20"/>
          <w:w w:val="105"/>
          <w:sz w:val="20"/>
        </w:rPr>
        <w:t>the </w:t>
      </w:r>
      <w:r>
        <w:rPr>
          <w:color w:val="231F20"/>
          <w:spacing w:val="-3"/>
          <w:w w:val="105"/>
          <w:sz w:val="20"/>
        </w:rPr>
        <w:t>Company’s </w:t>
      </w:r>
      <w:r>
        <w:rPr>
          <w:color w:val="231F20"/>
          <w:w w:val="105"/>
          <w:sz w:val="20"/>
        </w:rPr>
        <w:t>officers with the aim of aligning such Officers’ compensation with the </w:t>
      </w:r>
      <w:r>
        <w:rPr>
          <w:color w:val="231F20"/>
          <w:spacing w:val="-3"/>
          <w:w w:val="105"/>
          <w:sz w:val="20"/>
        </w:rPr>
        <w:t>Company’s </w:t>
      </w:r>
      <w:r>
        <w:rPr>
          <w:color w:val="231F20"/>
          <w:w w:val="105"/>
          <w:sz w:val="20"/>
        </w:rPr>
        <w:t>mission and </w:t>
      </w:r>
      <w:r>
        <w:rPr>
          <w:color w:val="231F20"/>
          <w:spacing w:val="-4"/>
          <w:w w:val="105"/>
          <w:sz w:val="20"/>
        </w:rPr>
        <w:t>goals, </w:t>
      </w:r>
      <w:r>
        <w:rPr>
          <w:color w:val="231F20"/>
          <w:w w:val="105"/>
          <w:sz w:val="20"/>
        </w:rPr>
        <w:t>taking into account, inter alia, the </w:t>
      </w:r>
      <w:r>
        <w:rPr>
          <w:color w:val="231F20"/>
          <w:spacing w:val="-3"/>
          <w:w w:val="105"/>
          <w:sz w:val="20"/>
        </w:rPr>
        <w:t>Company’s </w:t>
      </w:r>
      <w:r>
        <w:rPr>
          <w:color w:val="231F20"/>
          <w:w w:val="105"/>
          <w:sz w:val="20"/>
        </w:rPr>
        <w:t>risk management policy; (c) </w:t>
      </w:r>
      <w:r>
        <w:rPr>
          <w:color w:val="231F20"/>
          <w:spacing w:val="-11"/>
          <w:w w:val="105"/>
          <w:sz w:val="20"/>
        </w:rPr>
        <w:t>To </w:t>
      </w:r>
      <w:r>
        <w:rPr>
          <w:color w:val="231F20"/>
          <w:w w:val="105"/>
          <w:sz w:val="20"/>
        </w:rPr>
        <w:t>adapt a compensation package combination that matches the size of the Company and the nature of its activities; and (d) </w:t>
      </w:r>
      <w:r>
        <w:rPr>
          <w:color w:val="231F20"/>
          <w:spacing w:val="-11"/>
          <w:w w:val="105"/>
          <w:sz w:val="20"/>
        </w:rPr>
        <w:t>To </w:t>
      </w:r>
      <w:r>
        <w:rPr>
          <w:color w:val="231F20"/>
          <w:w w:val="105"/>
          <w:sz w:val="20"/>
        </w:rPr>
        <w:t>comply with the provisions of the </w:t>
      </w:r>
      <w:r>
        <w:rPr>
          <w:color w:val="231F20"/>
          <w:spacing w:val="-5"/>
          <w:w w:val="105"/>
          <w:sz w:val="20"/>
        </w:rPr>
        <w:t>Law </w:t>
      </w:r>
      <w:r>
        <w:rPr>
          <w:color w:val="231F20"/>
          <w:w w:val="105"/>
          <w:sz w:val="20"/>
        </w:rPr>
        <w:t>by compensating those eligible pursuant to the Compensation </w:t>
      </w:r>
      <w:r>
        <w:rPr>
          <w:color w:val="231F20"/>
          <w:spacing w:val="-4"/>
          <w:w w:val="105"/>
          <w:sz w:val="20"/>
        </w:rPr>
        <w:t>Policy, </w:t>
      </w:r>
      <w:r>
        <w:rPr>
          <w:color w:val="231F20"/>
          <w:w w:val="105"/>
          <w:sz w:val="20"/>
        </w:rPr>
        <w:t>based on their efforts and contribution to the development of the </w:t>
      </w:r>
      <w:r>
        <w:rPr>
          <w:color w:val="231F20"/>
          <w:spacing w:val="-3"/>
          <w:w w:val="105"/>
          <w:sz w:val="20"/>
        </w:rPr>
        <w:t>Company’s </w:t>
      </w:r>
      <w:r>
        <w:rPr>
          <w:color w:val="231F20"/>
          <w:w w:val="105"/>
          <w:sz w:val="20"/>
        </w:rPr>
        <w:t>business and to the promotion of its </w:t>
      </w:r>
      <w:r>
        <w:rPr>
          <w:color w:val="231F20"/>
          <w:spacing w:val="-4"/>
          <w:w w:val="105"/>
          <w:sz w:val="20"/>
        </w:rPr>
        <w:t>goals, </w:t>
      </w:r>
      <w:r>
        <w:rPr>
          <w:color w:val="231F20"/>
          <w:w w:val="105"/>
          <w:sz w:val="20"/>
        </w:rPr>
        <w:t>in the short and long</w:t>
      </w:r>
      <w:r>
        <w:rPr>
          <w:color w:val="231F20"/>
          <w:spacing w:val="-27"/>
          <w:w w:val="105"/>
          <w:sz w:val="20"/>
        </w:rPr>
        <w:t> </w:t>
      </w:r>
      <w:r>
        <w:rPr>
          <w:color w:val="231F20"/>
          <w:w w:val="105"/>
          <w:sz w:val="20"/>
        </w:rPr>
        <w:t>term.</w:t>
      </w:r>
    </w:p>
    <w:p>
      <w:pPr>
        <w:pStyle w:val="ListParagraph"/>
        <w:numPr>
          <w:ilvl w:val="1"/>
          <w:numId w:val="4"/>
        </w:numPr>
        <w:tabs>
          <w:tab w:pos="1889" w:val="left" w:leader="none"/>
        </w:tabs>
        <w:spacing w:line="240" w:lineRule="auto" w:before="169" w:after="0"/>
        <w:ind w:left="1888" w:right="0" w:hanging="400"/>
        <w:jc w:val="left"/>
        <w:rPr>
          <w:sz w:val="20"/>
        </w:rPr>
      </w:pPr>
      <w:r>
        <w:rPr>
          <w:color w:val="231F20"/>
          <w:w w:val="105"/>
          <w:sz w:val="20"/>
        </w:rPr>
        <w:t>The Compensation Policy shall be </w:t>
      </w:r>
      <w:r>
        <w:rPr>
          <w:color w:val="231F20"/>
          <w:spacing w:val="-3"/>
          <w:w w:val="105"/>
          <w:sz w:val="20"/>
        </w:rPr>
        <w:t>at all </w:t>
      </w:r>
      <w:r>
        <w:rPr>
          <w:color w:val="231F20"/>
          <w:w w:val="105"/>
          <w:sz w:val="20"/>
        </w:rPr>
        <w:t>times subject to </w:t>
      </w:r>
      <w:r>
        <w:rPr>
          <w:color w:val="231F20"/>
          <w:spacing w:val="-3"/>
          <w:w w:val="105"/>
          <w:sz w:val="20"/>
        </w:rPr>
        <w:t>any </w:t>
      </w:r>
      <w:r>
        <w:rPr>
          <w:color w:val="231F20"/>
          <w:w w:val="105"/>
          <w:sz w:val="20"/>
        </w:rPr>
        <w:t>applicable</w:t>
      </w:r>
      <w:r>
        <w:rPr>
          <w:color w:val="231F20"/>
          <w:spacing w:val="-33"/>
          <w:w w:val="105"/>
          <w:sz w:val="20"/>
        </w:rPr>
        <w:t> </w:t>
      </w:r>
      <w:r>
        <w:rPr>
          <w:color w:val="231F20"/>
          <w:spacing w:val="-9"/>
          <w:w w:val="105"/>
          <w:sz w:val="20"/>
        </w:rPr>
        <w:t>law.</w:t>
      </w:r>
    </w:p>
    <w:p>
      <w:pPr>
        <w:pStyle w:val="BodyText"/>
        <w:spacing w:before="2"/>
        <w:rPr>
          <w:sz w:val="22"/>
        </w:rPr>
      </w:pPr>
    </w:p>
    <w:p>
      <w:pPr>
        <w:pStyle w:val="ListParagraph"/>
        <w:numPr>
          <w:ilvl w:val="0"/>
          <w:numId w:val="4"/>
        </w:numPr>
        <w:tabs>
          <w:tab w:pos="1489" w:val="left" w:leader="none"/>
          <w:tab w:pos="1490" w:val="left" w:leader="none"/>
        </w:tabs>
        <w:spacing w:line="240" w:lineRule="auto" w:before="0" w:after="0"/>
        <w:ind w:left="1489" w:right="0" w:hanging="400"/>
        <w:jc w:val="left"/>
        <w:rPr>
          <w:b/>
          <w:sz w:val="20"/>
        </w:rPr>
      </w:pPr>
      <w:r>
        <w:rPr>
          <w:b/>
          <w:color w:val="231F20"/>
          <w:sz w:val="20"/>
          <w:u w:val="single" w:color="231F20"/>
        </w:rPr>
        <w:t>Definitions</w:t>
      </w:r>
    </w:p>
    <w:p>
      <w:pPr>
        <w:pStyle w:val="BodyText"/>
        <w:tabs>
          <w:tab w:pos="3959" w:val="left" w:leader="none"/>
        </w:tabs>
        <w:spacing w:before="169"/>
        <w:ind w:left="1489"/>
      </w:pPr>
      <w:r>
        <w:rPr>
          <w:color w:val="231F20"/>
          <w:w w:val="105"/>
        </w:rPr>
        <w:t>SHL or</w:t>
      </w:r>
      <w:r>
        <w:rPr>
          <w:color w:val="231F20"/>
          <w:spacing w:val="9"/>
          <w:w w:val="105"/>
        </w:rPr>
        <w:t> </w:t>
      </w:r>
      <w:r>
        <w:rPr>
          <w:color w:val="231F20"/>
          <w:w w:val="105"/>
        </w:rPr>
        <w:t>the</w:t>
      </w:r>
      <w:r>
        <w:rPr>
          <w:color w:val="231F20"/>
          <w:spacing w:val="4"/>
          <w:w w:val="105"/>
        </w:rPr>
        <w:t> </w:t>
      </w:r>
      <w:r>
        <w:rPr>
          <w:color w:val="231F20"/>
          <w:w w:val="105"/>
        </w:rPr>
        <w:t>Company</w:t>
        <w:tab/>
        <w:t>SHL Telemedicine</w:t>
      </w:r>
      <w:r>
        <w:rPr>
          <w:color w:val="231F20"/>
          <w:spacing w:val="-7"/>
          <w:w w:val="105"/>
        </w:rPr>
        <w:t> </w:t>
      </w:r>
      <w:r>
        <w:rPr>
          <w:color w:val="231F20"/>
          <w:w w:val="105"/>
        </w:rPr>
        <w:t>Ltd.</w:t>
      </w:r>
    </w:p>
    <w:p>
      <w:pPr>
        <w:pStyle w:val="BodyText"/>
        <w:tabs>
          <w:tab w:pos="3959" w:val="left" w:leader="none"/>
        </w:tabs>
        <w:spacing w:line="312" w:lineRule="auto" w:before="69"/>
        <w:ind w:left="1489" w:right="2763"/>
      </w:pPr>
      <w:r>
        <w:rPr>
          <w:color w:val="231F20"/>
          <w:w w:val="105"/>
        </w:rPr>
        <w:t>Group</w:t>
        <w:tab/>
        <w:t>The Company and its subsidiaries and affiliates Companies</w:t>
      </w:r>
      <w:r>
        <w:rPr>
          <w:color w:val="231F20"/>
          <w:spacing w:val="1"/>
          <w:w w:val="105"/>
        </w:rPr>
        <w:t> </w:t>
      </w:r>
      <w:r>
        <w:rPr>
          <w:color w:val="231F20"/>
          <w:spacing w:val="-5"/>
          <w:w w:val="105"/>
        </w:rPr>
        <w:t>Law</w:t>
        <w:tab/>
      </w:r>
      <w:r>
        <w:rPr>
          <w:color w:val="231F20"/>
          <w:w w:val="105"/>
        </w:rPr>
        <w:t>Companies</w:t>
      </w:r>
      <w:r>
        <w:rPr>
          <w:color w:val="231F20"/>
          <w:spacing w:val="-6"/>
          <w:w w:val="105"/>
        </w:rPr>
        <w:t> </w:t>
      </w:r>
      <w:r>
        <w:rPr>
          <w:color w:val="231F20"/>
          <w:spacing w:val="-5"/>
          <w:w w:val="105"/>
        </w:rPr>
        <w:t>Law</w:t>
      </w:r>
      <w:r>
        <w:rPr>
          <w:color w:val="231F20"/>
          <w:spacing w:val="-7"/>
          <w:w w:val="105"/>
        </w:rPr>
        <w:t> </w:t>
      </w:r>
      <w:r>
        <w:rPr>
          <w:color w:val="231F20"/>
          <w:w w:val="105"/>
        </w:rPr>
        <w:t>5759-</w:t>
      </w:r>
      <w:r>
        <w:rPr>
          <w:color w:val="231F20"/>
          <w:spacing w:val="-6"/>
          <w:w w:val="105"/>
        </w:rPr>
        <w:t> </w:t>
      </w:r>
      <w:r>
        <w:rPr>
          <w:color w:val="231F20"/>
          <w:w w:val="105"/>
        </w:rPr>
        <w:t>1999</w:t>
      </w:r>
      <w:r>
        <w:rPr>
          <w:color w:val="231F20"/>
          <w:spacing w:val="-7"/>
          <w:w w:val="105"/>
        </w:rPr>
        <w:t> </w:t>
      </w:r>
      <w:r>
        <w:rPr>
          <w:color w:val="231F20"/>
          <w:w w:val="105"/>
        </w:rPr>
        <w:t>as</w:t>
      </w:r>
      <w:r>
        <w:rPr>
          <w:color w:val="231F20"/>
          <w:spacing w:val="-6"/>
          <w:w w:val="105"/>
        </w:rPr>
        <w:t> </w:t>
      </w:r>
      <w:r>
        <w:rPr>
          <w:color w:val="231F20"/>
          <w:w w:val="105"/>
        </w:rPr>
        <w:t>in</w:t>
      </w:r>
      <w:r>
        <w:rPr>
          <w:color w:val="231F20"/>
          <w:spacing w:val="-7"/>
          <w:w w:val="105"/>
        </w:rPr>
        <w:t> </w:t>
      </w:r>
      <w:r>
        <w:rPr>
          <w:color w:val="231F20"/>
          <w:w w:val="105"/>
        </w:rPr>
        <w:t>effect</w:t>
      </w:r>
      <w:r>
        <w:rPr>
          <w:color w:val="231F20"/>
          <w:spacing w:val="-6"/>
          <w:w w:val="105"/>
        </w:rPr>
        <w:t> </w:t>
      </w:r>
      <w:r>
        <w:rPr>
          <w:color w:val="231F20"/>
          <w:w w:val="105"/>
        </w:rPr>
        <w:t>from</w:t>
      </w:r>
      <w:r>
        <w:rPr>
          <w:color w:val="231F20"/>
          <w:spacing w:val="-6"/>
          <w:w w:val="105"/>
        </w:rPr>
        <w:t> </w:t>
      </w:r>
      <w:r>
        <w:rPr>
          <w:color w:val="231F20"/>
          <w:w w:val="105"/>
        </w:rPr>
        <w:t>time</w:t>
      </w:r>
      <w:r>
        <w:rPr>
          <w:color w:val="231F20"/>
          <w:spacing w:val="-7"/>
          <w:w w:val="105"/>
        </w:rPr>
        <w:t> </w:t>
      </w:r>
      <w:r>
        <w:rPr>
          <w:color w:val="231F20"/>
          <w:w w:val="105"/>
        </w:rPr>
        <w:t>to</w:t>
      </w:r>
      <w:r>
        <w:rPr>
          <w:color w:val="231F20"/>
          <w:spacing w:val="-6"/>
          <w:w w:val="105"/>
        </w:rPr>
        <w:t> </w:t>
      </w:r>
      <w:r>
        <w:rPr>
          <w:color w:val="231F20"/>
          <w:spacing w:val="-3"/>
          <w:w w:val="105"/>
        </w:rPr>
        <w:t>time. </w:t>
      </w:r>
      <w:r>
        <w:rPr>
          <w:color w:val="231F20"/>
          <w:w w:val="105"/>
        </w:rPr>
        <w:t>Board</w:t>
        <w:tab/>
        <w:t>The board of directors of the</w:t>
      </w:r>
      <w:r>
        <w:rPr>
          <w:color w:val="231F20"/>
          <w:spacing w:val="30"/>
          <w:w w:val="105"/>
        </w:rPr>
        <w:t> </w:t>
      </w:r>
      <w:r>
        <w:rPr>
          <w:color w:val="231F20"/>
          <w:spacing w:val="-4"/>
          <w:w w:val="105"/>
        </w:rPr>
        <w:t>Company.</w:t>
      </w:r>
    </w:p>
    <w:p>
      <w:pPr>
        <w:pStyle w:val="BodyText"/>
        <w:tabs>
          <w:tab w:pos="3959" w:val="left" w:leader="none"/>
        </w:tabs>
        <w:spacing w:before="2"/>
        <w:ind w:left="1489"/>
      </w:pPr>
      <w:r>
        <w:rPr>
          <w:color w:val="231F20"/>
          <w:w w:val="110"/>
        </w:rPr>
        <w:t>Director</w:t>
        <w:tab/>
        <w:t>Member of the</w:t>
      </w:r>
      <w:r>
        <w:rPr>
          <w:color w:val="231F20"/>
          <w:spacing w:val="-1"/>
          <w:w w:val="110"/>
        </w:rPr>
        <w:t> </w:t>
      </w:r>
      <w:r>
        <w:rPr>
          <w:color w:val="231F20"/>
          <w:w w:val="110"/>
        </w:rPr>
        <w:t>Board.</w:t>
      </w:r>
    </w:p>
    <w:p>
      <w:pPr>
        <w:pStyle w:val="BodyText"/>
        <w:tabs>
          <w:tab w:pos="3959" w:val="left" w:leader="none"/>
        </w:tabs>
        <w:spacing w:before="69"/>
        <w:ind w:left="1489"/>
      </w:pPr>
      <w:r>
        <w:rPr>
          <w:color w:val="231F20"/>
          <w:w w:val="105"/>
        </w:rPr>
        <w:t>Compensation</w:t>
      </w:r>
      <w:r>
        <w:rPr>
          <w:color w:val="231F20"/>
          <w:spacing w:val="6"/>
          <w:w w:val="105"/>
        </w:rPr>
        <w:t> </w:t>
      </w:r>
      <w:r>
        <w:rPr>
          <w:color w:val="231F20"/>
          <w:w w:val="105"/>
        </w:rPr>
        <w:t>Committee</w:t>
        <w:tab/>
        <w:t>The compensation committee of the Company as duly</w:t>
      </w:r>
      <w:r>
        <w:rPr>
          <w:color w:val="231F20"/>
          <w:spacing w:val="2"/>
          <w:w w:val="105"/>
        </w:rPr>
        <w:t> </w:t>
      </w:r>
      <w:r>
        <w:rPr>
          <w:color w:val="231F20"/>
          <w:w w:val="105"/>
        </w:rPr>
        <w:t>appointed</w:t>
      </w:r>
    </w:p>
    <w:p>
      <w:pPr>
        <w:pStyle w:val="BodyText"/>
        <w:spacing w:before="9"/>
        <w:ind w:left="3959"/>
      </w:pPr>
      <w:r>
        <w:rPr>
          <w:color w:val="231F20"/>
          <w:w w:val="105"/>
        </w:rPr>
        <w:t>from time to time in accordance with applicable law.</w:t>
      </w:r>
    </w:p>
    <w:p>
      <w:pPr>
        <w:pStyle w:val="BodyText"/>
        <w:tabs>
          <w:tab w:pos="3959" w:val="left" w:leader="none"/>
        </w:tabs>
        <w:spacing w:before="70"/>
        <w:ind w:left="1489"/>
      </w:pPr>
      <w:r>
        <w:rPr>
          <w:color w:val="231F20"/>
          <w:w w:val="105"/>
        </w:rPr>
        <w:t>CEO</w:t>
        <w:tab/>
        <w:t>Chief Executive Officer of the</w:t>
      </w:r>
      <w:r>
        <w:rPr>
          <w:color w:val="231F20"/>
          <w:spacing w:val="19"/>
          <w:w w:val="105"/>
        </w:rPr>
        <w:t> </w:t>
      </w:r>
      <w:r>
        <w:rPr>
          <w:color w:val="231F20"/>
          <w:spacing w:val="-4"/>
          <w:w w:val="105"/>
        </w:rPr>
        <w:t>Company.</w:t>
      </w:r>
    </w:p>
    <w:p>
      <w:pPr>
        <w:pStyle w:val="BodyText"/>
        <w:tabs>
          <w:tab w:pos="3959" w:val="left" w:leader="none"/>
        </w:tabs>
        <w:spacing w:line="249" w:lineRule="auto" w:before="69"/>
        <w:ind w:left="3959" w:right="1794" w:hanging="2471"/>
      </w:pPr>
      <w:r>
        <w:rPr>
          <w:color w:val="231F20"/>
          <w:w w:val="105"/>
        </w:rPr>
        <w:t>VP</w:t>
        <w:tab/>
        <w:t>A chief business </w:t>
      </w:r>
      <w:r>
        <w:rPr>
          <w:color w:val="231F20"/>
          <w:spacing w:val="-3"/>
          <w:w w:val="105"/>
        </w:rPr>
        <w:t>manager, </w:t>
      </w:r>
      <w:r>
        <w:rPr>
          <w:color w:val="231F20"/>
          <w:w w:val="105"/>
        </w:rPr>
        <w:t>a deputy general </w:t>
      </w:r>
      <w:r>
        <w:rPr>
          <w:color w:val="231F20"/>
          <w:spacing w:val="-3"/>
          <w:w w:val="105"/>
        </w:rPr>
        <w:t>manager, </w:t>
      </w:r>
      <w:r>
        <w:rPr>
          <w:color w:val="231F20"/>
          <w:w w:val="105"/>
        </w:rPr>
        <w:t>vice general </w:t>
      </w:r>
      <w:r>
        <w:rPr>
          <w:color w:val="231F20"/>
          <w:spacing w:val="-3"/>
          <w:w w:val="105"/>
        </w:rPr>
        <w:t>manager, any </w:t>
      </w:r>
      <w:r>
        <w:rPr>
          <w:color w:val="231F20"/>
          <w:w w:val="105"/>
        </w:rPr>
        <w:t>person who holds such position in the Company even  if such person holds a different title and </w:t>
      </w:r>
      <w:r>
        <w:rPr>
          <w:color w:val="231F20"/>
          <w:spacing w:val="-3"/>
          <w:w w:val="105"/>
        </w:rPr>
        <w:t>any </w:t>
      </w:r>
      <w:r>
        <w:rPr>
          <w:color w:val="231F20"/>
          <w:w w:val="105"/>
        </w:rPr>
        <w:t>other manager/officer in the Company who reports directly to the</w:t>
      </w:r>
      <w:r>
        <w:rPr>
          <w:color w:val="231F20"/>
          <w:spacing w:val="-16"/>
          <w:w w:val="105"/>
        </w:rPr>
        <w:t> </w:t>
      </w:r>
      <w:r>
        <w:rPr>
          <w:color w:val="231F20"/>
          <w:spacing w:val="-3"/>
          <w:w w:val="105"/>
        </w:rPr>
        <w:t>CEO.</w:t>
      </w:r>
    </w:p>
    <w:p>
      <w:pPr>
        <w:pStyle w:val="BodyText"/>
        <w:tabs>
          <w:tab w:pos="3959" w:val="left" w:leader="none"/>
        </w:tabs>
        <w:spacing w:before="61"/>
        <w:ind w:left="1489"/>
      </w:pPr>
      <w:r>
        <w:rPr>
          <w:color w:val="231F20"/>
          <w:w w:val="105"/>
        </w:rPr>
        <w:t>Executive</w:t>
      </w:r>
      <w:r>
        <w:rPr>
          <w:color w:val="231F20"/>
          <w:spacing w:val="-17"/>
          <w:w w:val="105"/>
        </w:rPr>
        <w:t> </w:t>
      </w:r>
      <w:r>
        <w:rPr>
          <w:color w:val="231F20"/>
          <w:w w:val="105"/>
        </w:rPr>
        <w:t>Officers</w:t>
        <w:tab/>
        <w:t>CEO and</w:t>
      </w:r>
      <w:r>
        <w:rPr>
          <w:color w:val="231F20"/>
          <w:spacing w:val="-7"/>
          <w:w w:val="105"/>
        </w:rPr>
        <w:t> </w:t>
      </w:r>
      <w:r>
        <w:rPr>
          <w:color w:val="231F20"/>
          <w:spacing w:val="-4"/>
          <w:w w:val="105"/>
        </w:rPr>
        <w:t>VPs.</w:t>
      </w:r>
    </w:p>
    <w:p>
      <w:pPr>
        <w:pStyle w:val="BodyText"/>
        <w:tabs>
          <w:tab w:pos="3959" w:val="left" w:leader="none"/>
        </w:tabs>
        <w:spacing w:before="70"/>
        <w:ind w:left="1489"/>
      </w:pPr>
      <w:r>
        <w:rPr>
          <w:color w:val="231F20"/>
          <w:w w:val="105"/>
        </w:rPr>
        <w:t>Officers</w:t>
        <w:tab/>
        <w:t>As such term is determined under the Companies</w:t>
      </w:r>
      <w:r>
        <w:rPr>
          <w:color w:val="231F20"/>
          <w:spacing w:val="-22"/>
          <w:w w:val="105"/>
        </w:rPr>
        <w:t> </w:t>
      </w:r>
      <w:r>
        <w:rPr>
          <w:color w:val="231F20"/>
          <w:spacing w:val="-9"/>
          <w:w w:val="105"/>
        </w:rPr>
        <w:t>Law.</w:t>
      </w:r>
    </w:p>
    <w:p>
      <w:pPr>
        <w:pStyle w:val="BodyText"/>
        <w:tabs>
          <w:tab w:pos="3959" w:val="left" w:leader="none"/>
        </w:tabs>
        <w:spacing w:line="249" w:lineRule="auto" w:before="69"/>
        <w:ind w:left="3959" w:right="1788" w:hanging="2471"/>
      </w:pPr>
      <w:r>
        <w:rPr>
          <w:color w:val="231F20"/>
          <w:w w:val="105"/>
        </w:rPr>
        <w:t>Base</w:t>
      </w:r>
      <w:r>
        <w:rPr>
          <w:color w:val="231F20"/>
          <w:spacing w:val="-9"/>
          <w:w w:val="105"/>
        </w:rPr>
        <w:t> </w:t>
      </w:r>
      <w:r>
        <w:rPr>
          <w:color w:val="231F20"/>
          <w:w w:val="105"/>
        </w:rPr>
        <w:t>Salary</w:t>
        <w:tab/>
        <w:t>Fixed gross monthly salary in exchange </w:t>
      </w:r>
      <w:r>
        <w:rPr>
          <w:color w:val="231F20"/>
          <w:spacing w:val="-3"/>
          <w:w w:val="105"/>
        </w:rPr>
        <w:t>for </w:t>
      </w:r>
      <w:r>
        <w:rPr>
          <w:color w:val="231F20"/>
          <w:w w:val="105"/>
        </w:rPr>
        <w:t>the </w:t>
      </w:r>
      <w:r>
        <w:rPr>
          <w:color w:val="231F20"/>
          <w:spacing w:val="-3"/>
          <w:w w:val="105"/>
        </w:rPr>
        <w:t>work </w:t>
      </w:r>
      <w:r>
        <w:rPr>
          <w:color w:val="231F20"/>
          <w:w w:val="105"/>
        </w:rPr>
        <w:t>of the</w:t>
      </w:r>
      <w:r>
        <w:rPr>
          <w:color w:val="231F20"/>
          <w:spacing w:val="-16"/>
          <w:w w:val="105"/>
        </w:rPr>
        <w:t> </w:t>
      </w:r>
      <w:r>
        <w:rPr>
          <w:color w:val="231F20"/>
          <w:w w:val="105"/>
        </w:rPr>
        <w:t>Executive Officer.</w:t>
      </w:r>
    </w:p>
    <w:p>
      <w:pPr>
        <w:pStyle w:val="BodyText"/>
        <w:tabs>
          <w:tab w:pos="3959" w:val="left" w:leader="none"/>
        </w:tabs>
        <w:spacing w:before="60"/>
        <w:ind w:left="1489"/>
      </w:pPr>
      <w:r>
        <w:rPr>
          <w:color w:val="231F20"/>
          <w:w w:val="105"/>
        </w:rPr>
        <w:t>Management Fees</w:t>
        <w:tab/>
        <w:t>Fixed monthly payment in exchange </w:t>
      </w:r>
      <w:r>
        <w:rPr>
          <w:color w:val="231F20"/>
          <w:spacing w:val="-3"/>
          <w:w w:val="105"/>
        </w:rPr>
        <w:t>for </w:t>
      </w:r>
      <w:r>
        <w:rPr>
          <w:color w:val="231F20"/>
          <w:w w:val="105"/>
        </w:rPr>
        <w:t>services provided by</w:t>
      </w:r>
      <w:r>
        <w:rPr>
          <w:color w:val="231F20"/>
          <w:spacing w:val="-30"/>
          <w:w w:val="105"/>
        </w:rPr>
        <w:t> </w:t>
      </w:r>
      <w:r>
        <w:rPr>
          <w:color w:val="231F20"/>
          <w:w w:val="105"/>
        </w:rPr>
        <w:t>an</w:t>
      </w:r>
    </w:p>
    <w:p>
      <w:pPr>
        <w:pStyle w:val="BodyText"/>
        <w:spacing w:line="249" w:lineRule="auto" w:before="10"/>
        <w:ind w:left="3959" w:right="2283"/>
      </w:pPr>
      <w:r>
        <w:rPr>
          <w:color w:val="231F20"/>
          <w:w w:val="110"/>
        </w:rPr>
        <w:t>Officer</w:t>
      </w:r>
      <w:r>
        <w:rPr>
          <w:color w:val="231F20"/>
          <w:spacing w:val="-25"/>
          <w:w w:val="110"/>
        </w:rPr>
        <w:t> </w:t>
      </w:r>
      <w:r>
        <w:rPr>
          <w:color w:val="231F20"/>
          <w:w w:val="110"/>
        </w:rPr>
        <w:t>through</w:t>
      </w:r>
      <w:r>
        <w:rPr>
          <w:color w:val="231F20"/>
          <w:spacing w:val="-24"/>
          <w:w w:val="110"/>
        </w:rPr>
        <w:t> </w:t>
      </w:r>
      <w:r>
        <w:rPr>
          <w:color w:val="231F20"/>
          <w:w w:val="110"/>
        </w:rPr>
        <w:t>a</w:t>
      </w:r>
      <w:r>
        <w:rPr>
          <w:color w:val="231F20"/>
          <w:spacing w:val="-24"/>
          <w:w w:val="110"/>
        </w:rPr>
        <w:t> </w:t>
      </w:r>
      <w:r>
        <w:rPr>
          <w:color w:val="231F20"/>
          <w:w w:val="110"/>
        </w:rPr>
        <w:t>management</w:t>
      </w:r>
      <w:r>
        <w:rPr>
          <w:color w:val="231F20"/>
          <w:spacing w:val="-24"/>
          <w:w w:val="110"/>
        </w:rPr>
        <w:t> </w:t>
      </w:r>
      <w:r>
        <w:rPr>
          <w:color w:val="231F20"/>
          <w:w w:val="110"/>
        </w:rPr>
        <w:t>or</w:t>
      </w:r>
      <w:r>
        <w:rPr>
          <w:color w:val="231F20"/>
          <w:spacing w:val="-24"/>
          <w:w w:val="110"/>
        </w:rPr>
        <w:t> </w:t>
      </w:r>
      <w:r>
        <w:rPr>
          <w:color w:val="231F20"/>
          <w:w w:val="110"/>
        </w:rPr>
        <w:t>consulting</w:t>
      </w:r>
      <w:r>
        <w:rPr>
          <w:color w:val="231F20"/>
          <w:spacing w:val="-24"/>
          <w:w w:val="110"/>
        </w:rPr>
        <w:t> </w:t>
      </w:r>
      <w:r>
        <w:rPr>
          <w:color w:val="231F20"/>
          <w:w w:val="110"/>
        </w:rPr>
        <w:t>contract</w:t>
      </w:r>
      <w:r>
        <w:rPr>
          <w:color w:val="231F20"/>
          <w:spacing w:val="-24"/>
          <w:w w:val="110"/>
        </w:rPr>
        <w:t> </w:t>
      </w:r>
      <w:r>
        <w:rPr>
          <w:color w:val="231F20"/>
          <w:w w:val="110"/>
        </w:rPr>
        <w:t>against</w:t>
      </w:r>
      <w:r>
        <w:rPr>
          <w:color w:val="231F20"/>
          <w:spacing w:val="-24"/>
          <w:w w:val="110"/>
        </w:rPr>
        <w:t> </w:t>
      </w:r>
      <w:r>
        <w:rPr>
          <w:color w:val="231F20"/>
          <w:w w:val="110"/>
        </w:rPr>
        <w:t>a proper</w:t>
      </w:r>
      <w:r>
        <w:rPr>
          <w:color w:val="231F20"/>
          <w:spacing w:val="-7"/>
          <w:w w:val="110"/>
        </w:rPr>
        <w:t> </w:t>
      </w:r>
      <w:r>
        <w:rPr>
          <w:color w:val="231F20"/>
          <w:spacing w:val="-4"/>
          <w:w w:val="110"/>
        </w:rPr>
        <w:t>invoice.</w:t>
      </w:r>
    </w:p>
    <w:p>
      <w:pPr>
        <w:pStyle w:val="BodyText"/>
        <w:spacing w:line="249" w:lineRule="auto" w:before="120"/>
        <w:ind w:left="3959" w:right="1322"/>
      </w:pPr>
      <w:r>
        <w:rPr>
          <w:color w:val="231F20"/>
          <w:w w:val="105"/>
        </w:rPr>
        <w:t>For the purpose of the Compensation Policy, the Base Salary of such Officer shall be:</w:t>
      </w:r>
    </w:p>
    <w:p>
      <w:pPr>
        <w:pStyle w:val="ListParagraph"/>
        <w:numPr>
          <w:ilvl w:val="0"/>
          <w:numId w:val="5"/>
        </w:numPr>
        <w:tabs>
          <w:tab w:pos="4358" w:val="left" w:leader="none"/>
          <w:tab w:pos="4359" w:val="left" w:leader="none"/>
        </w:tabs>
        <w:spacing w:line="249" w:lineRule="auto" w:before="120" w:after="0"/>
        <w:ind w:left="4358" w:right="1947" w:hanging="400"/>
        <w:jc w:val="left"/>
        <w:rPr>
          <w:sz w:val="20"/>
        </w:rPr>
      </w:pPr>
      <w:r>
        <w:rPr>
          <w:color w:val="231F20"/>
          <w:w w:val="105"/>
          <w:sz w:val="20"/>
        </w:rPr>
        <w:t>Deemed to be equal to 70% of the total monthly consideration paid </w:t>
      </w:r>
      <w:r>
        <w:rPr>
          <w:color w:val="231F20"/>
          <w:spacing w:val="-3"/>
          <w:w w:val="105"/>
          <w:sz w:val="20"/>
        </w:rPr>
        <w:t>for </w:t>
      </w:r>
      <w:r>
        <w:rPr>
          <w:color w:val="231F20"/>
          <w:w w:val="105"/>
          <w:sz w:val="20"/>
        </w:rPr>
        <w:t>his services, under such </w:t>
      </w:r>
      <w:r>
        <w:rPr>
          <w:color w:val="231F20"/>
          <w:spacing w:val="-3"/>
          <w:w w:val="105"/>
          <w:sz w:val="20"/>
        </w:rPr>
        <w:t>invoice, </w:t>
      </w:r>
      <w:r>
        <w:rPr>
          <w:color w:val="231F20"/>
          <w:w w:val="105"/>
          <w:sz w:val="20"/>
        </w:rPr>
        <w:t>excluding</w:t>
      </w:r>
      <w:r>
        <w:rPr>
          <w:color w:val="231F20"/>
          <w:spacing w:val="-32"/>
          <w:w w:val="105"/>
          <w:sz w:val="20"/>
        </w:rPr>
        <w:t> </w:t>
      </w:r>
      <w:r>
        <w:rPr>
          <w:color w:val="231F20"/>
          <w:spacing w:val="-17"/>
          <w:w w:val="105"/>
          <w:sz w:val="20"/>
        </w:rPr>
        <w:t>VAT. </w:t>
      </w:r>
      <w:r>
        <w:rPr>
          <w:color w:val="231F20"/>
          <w:w w:val="105"/>
          <w:sz w:val="20"/>
        </w:rPr>
        <w:t>Or;</w:t>
      </w:r>
    </w:p>
    <w:p>
      <w:pPr>
        <w:pStyle w:val="ListParagraph"/>
        <w:numPr>
          <w:ilvl w:val="0"/>
          <w:numId w:val="5"/>
        </w:numPr>
        <w:tabs>
          <w:tab w:pos="4358" w:val="left" w:leader="none"/>
          <w:tab w:pos="4359" w:val="left" w:leader="none"/>
        </w:tabs>
        <w:spacing w:line="249" w:lineRule="auto" w:before="121" w:after="0"/>
        <w:ind w:left="4358" w:right="1802" w:hanging="400"/>
        <w:jc w:val="left"/>
        <w:rPr>
          <w:sz w:val="20"/>
        </w:rPr>
      </w:pPr>
      <w:r>
        <w:rPr>
          <w:color w:val="231F20"/>
          <w:spacing w:val="-6"/>
          <w:w w:val="105"/>
          <w:sz w:val="20"/>
        </w:rPr>
        <w:t>For </w:t>
      </w:r>
      <w:r>
        <w:rPr>
          <w:color w:val="231F20"/>
          <w:w w:val="105"/>
          <w:sz w:val="20"/>
        </w:rPr>
        <w:t>Officers whose company car tax liability is grossed up and paid by the </w:t>
      </w:r>
      <w:r>
        <w:rPr>
          <w:color w:val="231F20"/>
          <w:spacing w:val="-4"/>
          <w:w w:val="105"/>
          <w:sz w:val="20"/>
        </w:rPr>
        <w:t>Company, </w:t>
      </w:r>
      <w:r>
        <w:rPr>
          <w:color w:val="231F20"/>
          <w:w w:val="105"/>
          <w:sz w:val="20"/>
        </w:rPr>
        <w:t>shall be deemed to be equal to 70% of the total monthly consideration paid </w:t>
      </w:r>
      <w:r>
        <w:rPr>
          <w:color w:val="231F20"/>
          <w:spacing w:val="-3"/>
          <w:w w:val="105"/>
          <w:sz w:val="20"/>
        </w:rPr>
        <w:t>for </w:t>
      </w:r>
      <w:r>
        <w:rPr>
          <w:color w:val="231F20"/>
          <w:w w:val="105"/>
          <w:sz w:val="20"/>
        </w:rPr>
        <w:t>his services, under such </w:t>
      </w:r>
      <w:r>
        <w:rPr>
          <w:color w:val="231F20"/>
          <w:spacing w:val="-3"/>
          <w:w w:val="105"/>
          <w:sz w:val="20"/>
        </w:rPr>
        <w:t>invoice, </w:t>
      </w:r>
      <w:r>
        <w:rPr>
          <w:color w:val="231F20"/>
          <w:w w:val="105"/>
          <w:sz w:val="20"/>
        </w:rPr>
        <w:t>excluding</w:t>
      </w:r>
      <w:r>
        <w:rPr>
          <w:color w:val="231F20"/>
          <w:spacing w:val="-5"/>
          <w:w w:val="105"/>
          <w:sz w:val="20"/>
        </w:rPr>
        <w:t> </w:t>
      </w:r>
      <w:r>
        <w:rPr>
          <w:color w:val="231F20"/>
          <w:spacing w:val="-17"/>
          <w:w w:val="105"/>
          <w:sz w:val="20"/>
        </w:rPr>
        <w:t>VAT.</w:t>
      </w:r>
    </w:p>
    <w:p>
      <w:pPr>
        <w:spacing w:after="0" w:line="249" w:lineRule="auto"/>
        <w:jc w:val="left"/>
        <w:rPr>
          <w:sz w:val="20"/>
        </w:rPr>
        <w:sectPr>
          <w:type w:val="continuous"/>
          <w:pgSz w:w="11880" w:h="15480"/>
          <w:pgMar w:top="700" w:bottom="280" w:left="300" w:right="0"/>
        </w:sectPr>
      </w:pPr>
    </w:p>
    <w:p>
      <w:pPr>
        <w:pStyle w:val="BodyText"/>
        <w:tabs>
          <w:tab w:pos="3959" w:val="left" w:leader="none"/>
        </w:tabs>
        <w:spacing w:before="87"/>
        <w:ind w:left="1489"/>
      </w:pPr>
      <w:r>
        <w:rPr>
          <w:color w:val="231F20"/>
          <w:w w:val="105"/>
        </w:rPr>
        <w:t>Employee</w:t>
      </w:r>
      <w:r>
        <w:rPr>
          <w:color w:val="231F20"/>
          <w:spacing w:val="-13"/>
          <w:w w:val="105"/>
        </w:rPr>
        <w:t> </w:t>
      </w:r>
      <w:r>
        <w:rPr>
          <w:color w:val="231F20"/>
          <w:w w:val="105"/>
        </w:rPr>
        <w:t>Benefits</w:t>
        <w:tab/>
        <w:t>The compensation of each Executive Officer who is an employee</w:t>
      </w:r>
      <w:r>
        <w:rPr>
          <w:color w:val="231F20"/>
          <w:spacing w:val="-25"/>
          <w:w w:val="105"/>
        </w:rPr>
        <w:t> </w:t>
      </w:r>
      <w:r>
        <w:rPr>
          <w:color w:val="231F20"/>
          <w:w w:val="105"/>
        </w:rPr>
        <w:t>of</w:t>
      </w:r>
    </w:p>
    <w:p>
      <w:pPr>
        <w:pStyle w:val="BodyText"/>
        <w:spacing w:line="249" w:lineRule="auto" w:before="10"/>
        <w:ind w:left="3959" w:right="1835"/>
      </w:pPr>
      <w:r>
        <w:rPr>
          <w:color w:val="231F20"/>
          <w:w w:val="105"/>
        </w:rPr>
        <w:t>the Company </w:t>
      </w:r>
      <w:r>
        <w:rPr>
          <w:color w:val="231F20"/>
          <w:spacing w:val="-3"/>
          <w:w w:val="105"/>
        </w:rPr>
        <w:t>may </w:t>
      </w:r>
      <w:r>
        <w:rPr>
          <w:color w:val="231F20"/>
          <w:w w:val="105"/>
        </w:rPr>
        <w:t>include additional benefits such as social</w:t>
      </w:r>
      <w:r>
        <w:rPr>
          <w:color w:val="231F20"/>
          <w:spacing w:val="-21"/>
          <w:w w:val="105"/>
        </w:rPr>
        <w:t> </w:t>
      </w:r>
      <w:r>
        <w:rPr>
          <w:color w:val="231F20"/>
          <w:w w:val="105"/>
        </w:rPr>
        <w:t>benefits, severance payment, pension insurance, managers insurance, or study fund, subject to applicable </w:t>
      </w:r>
      <w:r>
        <w:rPr>
          <w:color w:val="231F20"/>
          <w:spacing w:val="-9"/>
          <w:w w:val="105"/>
        </w:rPr>
        <w:t>law. </w:t>
      </w:r>
      <w:r>
        <w:rPr>
          <w:color w:val="231F20"/>
          <w:w w:val="105"/>
        </w:rPr>
        <w:t>The compensation of Executive Officers (whether employees or service providers) </w:t>
      </w:r>
      <w:r>
        <w:rPr>
          <w:color w:val="231F20"/>
          <w:spacing w:val="-3"/>
          <w:w w:val="105"/>
        </w:rPr>
        <w:t>may also </w:t>
      </w:r>
      <w:r>
        <w:rPr>
          <w:color w:val="231F20"/>
          <w:w w:val="105"/>
        </w:rPr>
        <w:t>include fringe benefits such as medical insurance, car </w:t>
      </w:r>
      <w:r>
        <w:rPr>
          <w:color w:val="231F20"/>
          <w:spacing w:val="-3"/>
          <w:w w:val="105"/>
        </w:rPr>
        <w:t>allowance, </w:t>
      </w:r>
      <w:r>
        <w:rPr>
          <w:color w:val="231F20"/>
          <w:w w:val="105"/>
        </w:rPr>
        <w:t>mobile phone </w:t>
      </w:r>
      <w:r>
        <w:rPr>
          <w:color w:val="231F20"/>
          <w:spacing w:val="-3"/>
          <w:w w:val="105"/>
        </w:rPr>
        <w:t>allowance </w:t>
      </w:r>
      <w:r>
        <w:rPr>
          <w:color w:val="231F20"/>
          <w:w w:val="105"/>
        </w:rPr>
        <w:t>and reimbursement </w:t>
      </w:r>
      <w:r>
        <w:rPr>
          <w:color w:val="231F20"/>
          <w:spacing w:val="-3"/>
          <w:w w:val="105"/>
        </w:rPr>
        <w:t>for </w:t>
      </w:r>
      <w:r>
        <w:rPr>
          <w:color w:val="231F20"/>
          <w:w w:val="105"/>
        </w:rPr>
        <w:t>other expenses incurred </w:t>
      </w:r>
      <w:r>
        <w:rPr>
          <w:color w:val="231F20"/>
          <w:spacing w:val="-3"/>
          <w:w w:val="105"/>
        </w:rPr>
        <w:t>for </w:t>
      </w:r>
      <w:r>
        <w:rPr>
          <w:color w:val="231F20"/>
          <w:w w:val="105"/>
        </w:rPr>
        <w:t>the purpose of carrying out his or her duties, with or without grossing up of such benefits, </w:t>
      </w:r>
      <w:r>
        <w:rPr>
          <w:color w:val="231F20"/>
          <w:spacing w:val="-3"/>
          <w:w w:val="105"/>
        </w:rPr>
        <w:t>all </w:t>
      </w:r>
      <w:r>
        <w:rPr>
          <w:color w:val="231F20"/>
          <w:w w:val="105"/>
        </w:rPr>
        <w:t>in accordance with applicable </w:t>
      </w:r>
      <w:r>
        <w:rPr>
          <w:color w:val="231F20"/>
          <w:spacing w:val="-5"/>
          <w:w w:val="105"/>
        </w:rPr>
        <w:t>law </w:t>
      </w:r>
      <w:r>
        <w:rPr>
          <w:color w:val="231F20"/>
          <w:w w:val="105"/>
        </w:rPr>
        <w:t>and </w:t>
      </w:r>
      <w:r>
        <w:rPr>
          <w:color w:val="231F20"/>
          <w:spacing w:val="-3"/>
          <w:w w:val="105"/>
        </w:rPr>
        <w:t>Company’s </w:t>
      </w:r>
      <w:r>
        <w:rPr>
          <w:color w:val="231F20"/>
          <w:w w:val="105"/>
        </w:rPr>
        <w:t>policies as in effect from time to time, and</w:t>
      </w:r>
      <w:r>
        <w:rPr>
          <w:color w:val="231F20"/>
          <w:spacing w:val="-38"/>
          <w:w w:val="105"/>
        </w:rPr>
        <w:t> </w:t>
      </w:r>
      <w:r>
        <w:rPr>
          <w:color w:val="231F20"/>
          <w:spacing w:val="-3"/>
          <w:w w:val="105"/>
        </w:rPr>
        <w:t>all </w:t>
      </w:r>
      <w:r>
        <w:rPr>
          <w:color w:val="231F20"/>
          <w:w w:val="105"/>
        </w:rPr>
        <w:t>subject to this Compensation</w:t>
      </w:r>
      <w:r>
        <w:rPr>
          <w:color w:val="231F20"/>
          <w:spacing w:val="-10"/>
          <w:w w:val="105"/>
        </w:rPr>
        <w:t> </w:t>
      </w:r>
      <w:r>
        <w:rPr>
          <w:color w:val="231F20"/>
          <w:spacing w:val="-5"/>
          <w:w w:val="105"/>
        </w:rPr>
        <w:t>Policy.</w:t>
      </w:r>
    </w:p>
    <w:p>
      <w:pPr>
        <w:pStyle w:val="BodyText"/>
        <w:spacing w:before="5"/>
        <w:rPr>
          <w:sz w:val="26"/>
        </w:rPr>
      </w:pPr>
    </w:p>
    <w:p>
      <w:pPr>
        <w:pStyle w:val="ListParagraph"/>
        <w:numPr>
          <w:ilvl w:val="0"/>
          <w:numId w:val="4"/>
        </w:numPr>
        <w:tabs>
          <w:tab w:pos="1489" w:val="left" w:leader="none"/>
          <w:tab w:pos="1490" w:val="left" w:leader="none"/>
        </w:tabs>
        <w:spacing w:line="240" w:lineRule="auto" w:before="0" w:after="0"/>
        <w:ind w:left="1489" w:right="0" w:hanging="400"/>
        <w:jc w:val="left"/>
        <w:rPr>
          <w:b/>
          <w:sz w:val="20"/>
        </w:rPr>
      </w:pPr>
      <w:r>
        <w:rPr>
          <w:b/>
          <w:color w:val="231F20"/>
          <w:spacing w:val="-4"/>
          <w:sz w:val="20"/>
          <w:u w:val="single" w:color="231F20"/>
        </w:rPr>
        <w:t>Term </w:t>
      </w:r>
      <w:r>
        <w:rPr>
          <w:b/>
          <w:color w:val="231F20"/>
          <w:sz w:val="20"/>
          <w:u w:val="single" w:color="231F20"/>
        </w:rPr>
        <w:t>and Applicability of Compensation</w:t>
      </w:r>
      <w:r>
        <w:rPr>
          <w:b/>
          <w:color w:val="231F20"/>
          <w:spacing w:val="7"/>
          <w:sz w:val="20"/>
          <w:u w:val="single" w:color="231F20"/>
        </w:rPr>
        <w:t> </w:t>
      </w:r>
      <w:r>
        <w:rPr>
          <w:b/>
          <w:color w:val="231F20"/>
          <w:sz w:val="20"/>
          <w:u w:val="single" w:color="231F20"/>
        </w:rPr>
        <w:t>Policy</w:t>
      </w:r>
    </w:p>
    <w:p>
      <w:pPr>
        <w:pStyle w:val="ListParagraph"/>
        <w:numPr>
          <w:ilvl w:val="1"/>
          <w:numId w:val="4"/>
        </w:numPr>
        <w:tabs>
          <w:tab w:pos="1889" w:val="left" w:leader="none"/>
        </w:tabs>
        <w:spacing w:line="252" w:lineRule="auto" w:before="169" w:after="0"/>
        <w:ind w:left="1888" w:right="1395" w:hanging="400"/>
        <w:jc w:val="left"/>
        <w:rPr>
          <w:sz w:val="20"/>
        </w:rPr>
      </w:pPr>
      <w:r>
        <w:rPr>
          <w:color w:val="231F20"/>
          <w:w w:val="105"/>
          <w:sz w:val="20"/>
        </w:rPr>
        <w:t>This Compensation Policy Shall apply only to Officers of the Company and shall be in </w:t>
      </w:r>
      <w:r>
        <w:rPr>
          <w:color w:val="231F20"/>
          <w:spacing w:val="-3"/>
          <w:w w:val="105"/>
          <w:sz w:val="20"/>
        </w:rPr>
        <w:t>force for </w:t>
      </w:r>
      <w:r>
        <w:rPr>
          <w:color w:val="231F20"/>
          <w:w w:val="105"/>
          <w:sz w:val="20"/>
        </w:rPr>
        <w:t>a period of 3 years from the date the Compensation Policy is duly </w:t>
      </w:r>
      <w:r>
        <w:rPr>
          <w:color w:val="231F20"/>
          <w:spacing w:val="-3"/>
          <w:w w:val="105"/>
          <w:sz w:val="20"/>
        </w:rPr>
        <w:t>approved. </w:t>
      </w:r>
      <w:r>
        <w:rPr>
          <w:color w:val="231F20"/>
          <w:w w:val="105"/>
          <w:sz w:val="20"/>
        </w:rPr>
        <w:t>The Company has the right to change the Compensation </w:t>
      </w:r>
      <w:r>
        <w:rPr>
          <w:color w:val="231F20"/>
          <w:spacing w:val="-4"/>
          <w:w w:val="105"/>
          <w:sz w:val="20"/>
        </w:rPr>
        <w:t>Policy, </w:t>
      </w:r>
      <w:r>
        <w:rPr>
          <w:color w:val="231F20"/>
          <w:spacing w:val="-3"/>
          <w:w w:val="105"/>
          <w:sz w:val="20"/>
        </w:rPr>
        <w:t>at any </w:t>
      </w:r>
      <w:r>
        <w:rPr>
          <w:color w:val="231F20"/>
          <w:w w:val="105"/>
          <w:sz w:val="20"/>
        </w:rPr>
        <w:t>time, in accordance with the provisions of applicable</w:t>
      </w:r>
      <w:r>
        <w:rPr>
          <w:color w:val="231F20"/>
          <w:spacing w:val="-4"/>
          <w:w w:val="105"/>
          <w:sz w:val="20"/>
        </w:rPr>
        <w:t> </w:t>
      </w:r>
      <w:r>
        <w:rPr>
          <w:color w:val="231F20"/>
          <w:spacing w:val="-9"/>
          <w:w w:val="105"/>
          <w:sz w:val="20"/>
        </w:rPr>
        <w:t>law.</w:t>
      </w:r>
    </w:p>
    <w:p>
      <w:pPr>
        <w:pStyle w:val="ListParagraph"/>
        <w:numPr>
          <w:ilvl w:val="1"/>
          <w:numId w:val="4"/>
        </w:numPr>
        <w:tabs>
          <w:tab w:pos="1889" w:val="left" w:leader="none"/>
        </w:tabs>
        <w:spacing w:line="252" w:lineRule="auto" w:before="160" w:after="0"/>
        <w:ind w:left="1888" w:right="1387" w:hanging="400"/>
        <w:jc w:val="left"/>
        <w:rPr>
          <w:sz w:val="20"/>
        </w:rPr>
      </w:pPr>
      <w:r>
        <w:rPr>
          <w:color w:val="231F20"/>
          <w:w w:val="105"/>
          <w:sz w:val="20"/>
        </w:rPr>
        <w:t>It is hereby emphasized, that none of the provisions in this Compensation Policy is intended to provide </w:t>
      </w:r>
      <w:r>
        <w:rPr>
          <w:color w:val="231F20"/>
          <w:spacing w:val="-3"/>
          <w:w w:val="105"/>
          <w:sz w:val="20"/>
        </w:rPr>
        <w:t>any </w:t>
      </w:r>
      <w:r>
        <w:rPr>
          <w:color w:val="231F20"/>
          <w:w w:val="105"/>
          <w:sz w:val="20"/>
        </w:rPr>
        <w:t>rights or remedies to </w:t>
      </w:r>
      <w:r>
        <w:rPr>
          <w:color w:val="231F20"/>
          <w:spacing w:val="-3"/>
          <w:w w:val="105"/>
          <w:sz w:val="20"/>
        </w:rPr>
        <w:t>any </w:t>
      </w:r>
      <w:r>
        <w:rPr>
          <w:color w:val="231F20"/>
          <w:w w:val="105"/>
          <w:sz w:val="20"/>
        </w:rPr>
        <w:t>of the Officers to whom this Policy applies and/or other employees of the </w:t>
      </w:r>
      <w:r>
        <w:rPr>
          <w:color w:val="231F20"/>
          <w:spacing w:val="-4"/>
          <w:w w:val="105"/>
          <w:sz w:val="20"/>
        </w:rPr>
        <w:t>Company, </w:t>
      </w:r>
      <w:r>
        <w:rPr>
          <w:color w:val="231F20"/>
          <w:w w:val="105"/>
          <w:sz w:val="20"/>
        </w:rPr>
        <w:t>and/or to </w:t>
      </w:r>
      <w:r>
        <w:rPr>
          <w:color w:val="231F20"/>
          <w:spacing w:val="-3"/>
          <w:w w:val="105"/>
          <w:sz w:val="20"/>
        </w:rPr>
        <w:t>any </w:t>
      </w:r>
      <w:r>
        <w:rPr>
          <w:color w:val="231F20"/>
          <w:w w:val="105"/>
          <w:sz w:val="20"/>
        </w:rPr>
        <w:t>third </w:t>
      </w:r>
      <w:r>
        <w:rPr>
          <w:color w:val="231F20"/>
          <w:spacing w:val="-3"/>
          <w:w w:val="105"/>
          <w:sz w:val="20"/>
        </w:rPr>
        <w:t>party, </w:t>
      </w:r>
      <w:r>
        <w:rPr>
          <w:color w:val="231F20"/>
          <w:w w:val="105"/>
          <w:sz w:val="20"/>
        </w:rPr>
        <w:t>and no Officer or employee or </w:t>
      </w:r>
      <w:r>
        <w:rPr>
          <w:color w:val="231F20"/>
          <w:spacing w:val="-3"/>
          <w:w w:val="105"/>
          <w:sz w:val="20"/>
        </w:rPr>
        <w:t>any </w:t>
      </w:r>
      <w:r>
        <w:rPr>
          <w:color w:val="231F20"/>
          <w:w w:val="105"/>
          <w:sz w:val="20"/>
        </w:rPr>
        <w:t>third</w:t>
      </w:r>
      <w:r>
        <w:rPr>
          <w:color w:val="231F20"/>
          <w:spacing w:val="-34"/>
          <w:w w:val="105"/>
          <w:sz w:val="20"/>
        </w:rPr>
        <w:t> </w:t>
      </w:r>
      <w:r>
        <w:rPr>
          <w:color w:val="231F20"/>
          <w:w w:val="105"/>
          <w:sz w:val="20"/>
        </w:rPr>
        <w:t>party on his or her behalf </w:t>
      </w:r>
      <w:r>
        <w:rPr>
          <w:color w:val="231F20"/>
          <w:spacing w:val="-3"/>
          <w:w w:val="105"/>
          <w:sz w:val="20"/>
        </w:rPr>
        <w:t>may </w:t>
      </w:r>
      <w:r>
        <w:rPr>
          <w:color w:val="231F20"/>
          <w:spacing w:val="-4"/>
          <w:w w:val="105"/>
          <w:sz w:val="20"/>
        </w:rPr>
        <w:t>make </w:t>
      </w:r>
      <w:r>
        <w:rPr>
          <w:color w:val="231F20"/>
          <w:spacing w:val="-3"/>
          <w:w w:val="105"/>
          <w:sz w:val="20"/>
        </w:rPr>
        <w:t>any </w:t>
      </w:r>
      <w:r>
        <w:rPr>
          <w:color w:val="231F20"/>
          <w:w w:val="105"/>
          <w:sz w:val="20"/>
        </w:rPr>
        <w:t>claim and/or demand against the </w:t>
      </w:r>
      <w:r>
        <w:rPr>
          <w:color w:val="231F20"/>
          <w:spacing w:val="-4"/>
          <w:w w:val="105"/>
          <w:sz w:val="20"/>
        </w:rPr>
        <w:t>Company, </w:t>
      </w:r>
      <w:r>
        <w:rPr>
          <w:color w:val="231F20"/>
          <w:spacing w:val="-3"/>
          <w:w w:val="105"/>
          <w:sz w:val="20"/>
        </w:rPr>
        <w:t>any </w:t>
      </w:r>
      <w:r>
        <w:rPr>
          <w:color w:val="231F20"/>
          <w:w w:val="105"/>
          <w:sz w:val="20"/>
        </w:rPr>
        <w:t>of its office holders or employees or </w:t>
      </w:r>
      <w:r>
        <w:rPr>
          <w:color w:val="231F20"/>
          <w:spacing w:val="-3"/>
          <w:w w:val="105"/>
          <w:sz w:val="20"/>
        </w:rPr>
        <w:t>any </w:t>
      </w:r>
      <w:r>
        <w:rPr>
          <w:color w:val="231F20"/>
          <w:w w:val="105"/>
          <w:sz w:val="20"/>
        </w:rPr>
        <w:t>subsidiary or affiliate thereof or of its shareholders, based on the guidelines set forth</w:t>
      </w:r>
      <w:r>
        <w:rPr>
          <w:color w:val="231F20"/>
          <w:spacing w:val="-11"/>
          <w:w w:val="105"/>
          <w:sz w:val="20"/>
        </w:rPr>
        <w:t> </w:t>
      </w:r>
      <w:r>
        <w:rPr>
          <w:color w:val="231F20"/>
          <w:w w:val="105"/>
          <w:sz w:val="20"/>
        </w:rPr>
        <w:t>herein.</w:t>
      </w:r>
    </w:p>
    <w:p>
      <w:pPr>
        <w:pStyle w:val="BodyText"/>
        <w:spacing w:before="9"/>
      </w:pPr>
    </w:p>
    <w:p>
      <w:pPr>
        <w:pStyle w:val="ListParagraph"/>
        <w:numPr>
          <w:ilvl w:val="0"/>
          <w:numId w:val="4"/>
        </w:numPr>
        <w:tabs>
          <w:tab w:pos="1489" w:val="left" w:leader="none"/>
          <w:tab w:pos="1490" w:val="left" w:leader="none"/>
        </w:tabs>
        <w:spacing w:line="240" w:lineRule="auto" w:before="0" w:after="0"/>
        <w:ind w:left="1489" w:right="0" w:hanging="400"/>
        <w:jc w:val="left"/>
        <w:rPr>
          <w:b/>
          <w:sz w:val="20"/>
        </w:rPr>
      </w:pPr>
      <w:r>
        <w:rPr>
          <w:b/>
          <w:color w:val="231F20"/>
          <w:sz w:val="20"/>
          <w:u w:val="single" w:color="231F20"/>
        </w:rPr>
        <w:t>Supervision and Control of Compensation</w:t>
      </w:r>
      <w:r>
        <w:rPr>
          <w:b/>
          <w:color w:val="231F20"/>
          <w:spacing w:val="3"/>
          <w:sz w:val="20"/>
          <w:u w:val="single" w:color="231F20"/>
        </w:rPr>
        <w:t> </w:t>
      </w:r>
      <w:r>
        <w:rPr>
          <w:b/>
          <w:color w:val="231F20"/>
          <w:sz w:val="20"/>
          <w:u w:val="single" w:color="231F20"/>
        </w:rPr>
        <w:t>Policy</w:t>
      </w:r>
    </w:p>
    <w:p>
      <w:pPr>
        <w:pStyle w:val="ListParagraph"/>
        <w:numPr>
          <w:ilvl w:val="1"/>
          <w:numId w:val="4"/>
        </w:numPr>
        <w:tabs>
          <w:tab w:pos="1889" w:val="left" w:leader="none"/>
        </w:tabs>
        <w:spacing w:line="252" w:lineRule="auto" w:before="169" w:after="0"/>
        <w:ind w:left="1888" w:right="1493" w:hanging="400"/>
        <w:jc w:val="left"/>
        <w:rPr>
          <w:sz w:val="20"/>
        </w:rPr>
      </w:pPr>
      <w:r>
        <w:rPr>
          <w:color w:val="231F20"/>
          <w:w w:val="105"/>
          <w:sz w:val="20"/>
        </w:rPr>
        <w:t>The Board of Directors is in charge of the implementation of the Compensation Policy including the authority to interpret the provisions</w:t>
      </w:r>
      <w:r>
        <w:rPr>
          <w:color w:val="231F20"/>
          <w:spacing w:val="-17"/>
          <w:w w:val="105"/>
          <w:sz w:val="20"/>
        </w:rPr>
        <w:t> </w:t>
      </w:r>
      <w:r>
        <w:rPr>
          <w:color w:val="231F20"/>
          <w:w w:val="105"/>
          <w:sz w:val="20"/>
        </w:rPr>
        <w:t>thereof.</w:t>
      </w:r>
    </w:p>
    <w:p>
      <w:pPr>
        <w:pStyle w:val="ListParagraph"/>
        <w:numPr>
          <w:ilvl w:val="1"/>
          <w:numId w:val="4"/>
        </w:numPr>
        <w:tabs>
          <w:tab w:pos="1889" w:val="left" w:leader="none"/>
        </w:tabs>
        <w:spacing w:line="252" w:lineRule="auto" w:before="160" w:after="0"/>
        <w:ind w:left="1888" w:right="1386" w:hanging="400"/>
        <w:jc w:val="left"/>
        <w:rPr>
          <w:sz w:val="20"/>
        </w:rPr>
      </w:pPr>
      <w:r>
        <w:rPr>
          <w:color w:val="231F20"/>
          <w:w w:val="110"/>
          <w:sz w:val="20"/>
        </w:rPr>
        <w:t>The</w:t>
      </w:r>
      <w:r>
        <w:rPr>
          <w:color w:val="231F20"/>
          <w:spacing w:val="-23"/>
          <w:w w:val="110"/>
          <w:sz w:val="20"/>
        </w:rPr>
        <w:t> </w:t>
      </w:r>
      <w:r>
        <w:rPr>
          <w:color w:val="231F20"/>
          <w:w w:val="110"/>
          <w:sz w:val="20"/>
        </w:rPr>
        <w:t>Compensation</w:t>
      </w:r>
      <w:r>
        <w:rPr>
          <w:color w:val="231F20"/>
          <w:spacing w:val="-23"/>
          <w:w w:val="110"/>
          <w:sz w:val="20"/>
        </w:rPr>
        <w:t> </w:t>
      </w:r>
      <w:r>
        <w:rPr>
          <w:color w:val="231F20"/>
          <w:w w:val="110"/>
          <w:sz w:val="20"/>
        </w:rPr>
        <w:t>Committee</w:t>
      </w:r>
      <w:r>
        <w:rPr>
          <w:color w:val="231F20"/>
          <w:spacing w:val="-22"/>
          <w:w w:val="110"/>
          <w:sz w:val="20"/>
        </w:rPr>
        <w:t> </w:t>
      </w:r>
      <w:r>
        <w:rPr>
          <w:color w:val="231F20"/>
          <w:w w:val="110"/>
          <w:sz w:val="20"/>
        </w:rPr>
        <w:t>shall</w:t>
      </w:r>
      <w:r>
        <w:rPr>
          <w:color w:val="231F20"/>
          <w:spacing w:val="-23"/>
          <w:w w:val="110"/>
          <w:sz w:val="20"/>
        </w:rPr>
        <w:t> </w:t>
      </w:r>
      <w:r>
        <w:rPr>
          <w:color w:val="231F20"/>
          <w:w w:val="110"/>
          <w:sz w:val="20"/>
        </w:rPr>
        <w:t>examine</w:t>
      </w:r>
      <w:r>
        <w:rPr>
          <w:color w:val="231F20"/>
          <w:spacing w:val="-22"/>
          <w:w w:val="110"/>
          <w:sz w:val="20"/>
        </w:rPr>
        <w:t> </w:t>
      </w:r>
      <w:r>
        <w:rPr>
          <w:color w:val="231F20"/>
          <w:w w:val="110"/>
          <w:sz w:val="20"/>
        </w:rPr>
        <w:t>the</w:t>
      </w:r>
      <w:r>
        <w:rPr>
          <w:color w:val="231F20"/>
          <w:spacing w:val="-23"/>
          <w:w w:val="110"/>
          <w:sz w:val="20"/>
        </w:rPr>
        <w:t> </w:t>
      </w:r>
      <w:r>
        <w:rPr>
          <w:color w:val="231F20"/>
          <w:w w:val="110"/>
          <w:sz w:val="20"/>
        </w:rPr>
        <w:t>application</w:t>
      </w:r>
      <w:r>
        <w:rPr>
          <w:color w:val="231F20"/>
          <w:spacing w:val="-22"/>
          <w:w w:val="110"/>
          <w:sz w:val="20"/>
        </w:rPr>
        <w:t> </w:t>
      </w:r>
      <w:r>
        <w:rPr>
          <w:color w:val="231F20"/>
          <w:w w:val="110"/>
          <w:sz w:val="20"/>
        </w:rPr>
        <w:t>of</w:t>
      </w:r>
      <w:r>
        <w:rPr>
          <w:color w:val="231F20"/>
          <w:spacing w:val="-10"/>
          <w:w w:val="110"/>
          <w:sz w:val="20"/>
        </w:rPr>
        <w:t> </w:t>
      </w:r>
      <w:r>
        <w:rPr>
          <w:color w:val="231F20"/>
          <w:w w:val="110"/>
          <w:sz w:val="20"/>
        </w:rPr>
        <w:t>the</w:t>
      </w:r>
      <w:r>
        <w:rPr>
          <w:color w:val="231F20"/>
          <w:spacing w:val="-23"/>
          <w:w w:val="110"/>
          <w:sz w:val="20"/>
        </w:rPr>
        <w:t> </w:t>
      </w:r>
      <w:r>
        <w:rPr>
          <w:color w:val="231F20"/>
          <w:w w:val="110"/>
          <w:sz w:val="20"/>
        </w:rPr>
        <w:t>Compensation</w:t>
      </w:r>
      <w:r>
        <w:rPr>
          <w:color w:val="231F20"/>
          <w:spacing w:val="-23"/>
          <w:w w:val="110"/>
          <w:sz w:val="20"/>
        </w:rPr>
        <w:t> </w:t>
      </w:r>
      <w:r>
        <w:rPr>
          <w:color w:val="231F20"/>
          <w:spacing w:val="-4"/>
          <w:w w:val="110"/>
          <w:sz w:val="20"/>
        </w:rPr>
        <w:t>Policy,</w:t>
      </w:r>
      <w:r>
        <w:rPr>
          <w:color w:val="231F20"/>
          <w:spacing w:val="-22"/>
          <w:w w:val="110"/>
          <w:sz w:val="20"/>
        </w:rPr>
        <w:t> </w:t>
      </w:r>
      <w:r>
        <w:rPr>
          <w:color w:val="231F20"/>
          <w:w w:val="110"/>
          <w:sz w:val="20"/>
        </w:rPr>
        <w:t>from time</w:t>
      </w:r>
      <w:r>
        <w:rPr>
          <w:color w:val="231F20"/>
          <w:spacing w:val="-27"/>
          <w:w w:val="110"/>
          <w:sz w:val="20"/>
        </w:rPr>
        <w:t> </w:t>
      </w:r>
      <w:r>
        <w:rPr>
          <w:color w:val="231F20"/>
          <w:w w:val="110"/>
          <w:sz w:val="20"/>
        </w:rPr>
        <w:t>to</w:t>
      </w:r>
      <w:r>
        <w:rPr>
          <w:color w:val="231F20"/>
          <w:spacing w:val="-26"/>
          <w:w w:val="110"/>
          <w:sz w:val="20"/>
        </w:rPr>
        <w:t> </w:t>
      </w:r>
      <w:r>
        <w:rPr>
          <w:color w:val="231F20"/>
          <w:w w:val="110"/>
          <w:sz w:val="20"/>
        </w:rPr>
        <w:t>time,</w:t>
      </w:r>
      <w:r>
        <w:rPr>
          <w:color w:val="231F20"/>
          <w:spacing w:val="-26"/>
          <w:w w:val="110"/>
          <w:sz w:val="20"/>
        </w:rPr>
        <w:t> </w:t>
      </w:r>
      <w:r>
        <w:rPr>
          <w:color w:val="231F20"/>
          <w:w w:val="110"/>
          <w:sz w:val="20"/>
        </w:rPr>
        <w:t>and</w:t>
      </w:r>
      <w:r>
        <w:rPr>
          <w:color w:val="231F20"/>
          <w:spacing w:val="-26"/>
          <w:w w:val="110"/>
          <w:sz w:val="20"/>
        </w:rPr>
        <w:t> </w:t>
      </w:r>
      <w:r>
        <w:rPr>
          <w:color w:val="231F20"/>
          <w:spacing w:val="-3"/>
          <w:w w:val="110"/>
          <w:sz w:val="20"/>
        </w:rPr>
        <w:t>at</w:t>
      </w:r>
      <w:r>
        <w:rPr>
          <w:color w:val="231F20"/>
          <w:spacing w:val="-26"/>
          <w:w w:val="110"/>
          <w:sz w:val="20"/>
        </w:rPr>
        <w:t> </w:t>
      </w:r>
      <w:r>
        <w:rPr>
          <w:color w:val="231F20"/>
          <w:w w:val="110"/>
          <w:sz w:val="20"/>
        </w:rPr>
        <w:t>the</w:t>
      </w:r>
      <w:r>
        <w:rPr>
          <w:color w:val="231F20"/>
          <w:spacing w:val="-26"/>
          <w:w w:val="110"/>
          <w:sz w:val="20"/>
        </w:rPr>
        <w:t> </w:t>
      </w:r>
      <w:r>
        <w:rPr>
          <w:color w:val="231F20"/>
          <w:w w:val="110"/>
          <w:sz w:val="20"/>
        </w:rPr>
        <w:t>latest</w:t>
      </w:r>
      <w:r>
        <w:rPr>
          <w:color w:val="231F20"/>
          <w:spacing w:val="-26"/>
          <w:w w:val="110"/>
          <w:sz w:val="20"/>
        </w:rPr>
        <w:t> </w:t>
      </w:r>
      <w:r>
        <w:rPr>
          <w:color w:val="231F20"/>
          <w:w w:val="110"/>
          <w:sz w:val="20"/>
        </w:rPr>
        <w:t>each</w:t>
      </w:r>
      <w:r>
        <w:rPr>
          <w:color w:val="231F20"/>
          <w:spacing w:val="-26"/>
          <w:w w:val="110"/>
          <w:sz w:val="20"/>
        </w:rPr>
        <w:t> </w:t>
      </w:r>
      <w:r>
        <w:rPr>
          <w:color w:val="231F20"/>
          <w:spacing w:val="-5"/>
          <w:w w:val="110"/>
          <w:sz w:val="20"/>
        </w:rPr>
        <w:t>year,</w:t>
      </w:r>
      <w:r>
        <w:rPr>
          <w:color w:val="231F20"/>
          <w:spacing w:val="-27"/>
          <w:w w:val="110"/>
          <w:sz w:val="20"/>
        </w:rPr>
        <w:t> </w:t>
      </w:r>
      <w:r>
        <w:rPr>
          <w:color w:val="231F20"/>
          <w:w w:val="110"/>
          <w:sz w:val="20"/>
        </w:rPr>
        <w:t>and</w:t>
      </w:r>
      <w:r>
        <w:rPr>
          <w:color w:val="231F20"/>
          <w:spacing w:val="-26"/>
          <w:w w:val="110"/>
          <w:sz w:val="20"/>
        </w:rPr>
        <w:t> </w:t>
      </w:r>
      <w:r>
        <w:rPr>
          <w:color w:val="231F20"/>
          <w:w w:val="110"/>
          <w:sz w:val="20"/>
        </w:rPr>
        <w:t>recommend</w:t>
      </w:r>
      <w:r>
        <w:rPr>
          <w:color w:val="231F20"/>
          <w:spacing w:val="-26"/>
          <w:w w:val="110"/>
          <w:sz w:val="20"/>
        </w:rPr>
        <w:t> </w:t>
      </w:r>
      <w:r>
        <w:rPr>
          <w:color w:val="231F20"/>
          <w:spacing w:val="-3"/>
          <w:w w:val="110"/>
          <w:sz w:val="20"/>
        </w:rPr>
        <w:t>any</w:t>
      </w:r>
      <w:r>
        <w:rPr>
          <w:color w:val="231F20"/>
          <w:spacing w:val="-26"/>
          <w:w w:val="110"/>
          <w:sz w:val="20"/>
        </w:rPr>
        <w:t> </w:t>
      </w:r>
      <w:r>
        <w:rPr>
          <w:color w:val="231F20"/>
          <w:w w:val="110"/>
          <w:sz w:val="20"/>
        </w:rPr>
        <w:t>changes,</w:t>
      </w:r>
      <w:r>
        <w:rPr>
          <w:color w:val="231F20"/>
          <w:spacing w:val="-26"/>
          <w:w w:val="110"/>
          <w:sz w:val="20"/>
        </w:rPr>
        <w:t> </w:t>
      </w:r>
      <w:r>
        <w:rPr>
          <w:color w:val="231F20"/>
          <w:w w:val="110"/>
          <w:sz w:val="20"/>
        </w:rPr>
        <w:t>to</w:t>
      </w:r>
      <w:r>
        <w:rPr>
          <w:color w:val="231F20"/>
          <w:spacing w:val="-26"/>
          <w:w w:val="110"/>
          <w:sz w:val="20"/>
        </w:rPr>
        <w:t> </w:t>
      </w:r>
      <w:r>
        <w:rPr>
          <w:color w:val="231F20"/>
          <w:w w:val="110"/>
          <w:sz w:val="20"/>
        </w:rPr>
        <w:t>the</w:t>
      </w:r>
      <w:r>
        <w:rPr>
          <w:color w:val="231F20"/>
          <w:spacing w:val="-26"/>
          <w:w w:val="110"/>
          <w:sz w:val="20"/>
        </w:rPr>
        <w:t> </w:t>
      </w:r>
      <w:r>
        <w:rPr>
          <w:color w:val="231F20"/>
          <w:w w:val="110"/>
          <w:sz w:val="20"/>
        </w:rPr>
        <w:t>extent</w:t>
      </w:r>
      <w:r>
        <w:rPr>
          <w:color w:val="231F20"/>
          <w:spacing w:val="-26"/>
          <w:w w:val="110"/>
          <w:sz w:val="20"/>
        </w:rPr>
        <w:t> </w:t>
      </w:r>
      <w:r>
        <w:rPr>
          <w:color w:val="231F20"/>
          <w:w w:val="110"/>
          <w:sz w:val="20"/>
        </w:rPr>
        <w:t>necessary,</w:t>
      </w:r>
      <w:r>
        <w:rPr>
          <w:color w:val="231F20"/>
          <w:spacing w:val="-26"/>
          <w:w w:val="110"/>
          <w:sz w:val="20"/>
        </w:rPr>
        <w:t> </w:t>
      </w:r>
      <w:r>
        <w:rPr>
          <w:color w:val="231F20"/>
          <w:w w:val="110"/>
          <w:sz w:val="20"/>
        </w:rPr>
        <w:t>to</w:t>
      </w:r>
      <w:r>
        <w:rPr>
          <w:color w:val="231F20"/>
          <w:spacing w:val="-27"/>
          <w:w w:val="110"/>
          <w:sz w:val="20"/>
        </w:rPr>
        <w:t> </w:t>
      </w:r>
      <w:r>
        <w:rPr>
          <w:color w:val="231F20"/>
          <w:w w:val="110"/>
          <w:sz w:val="20"/>
        </w:rPr>
        <w:t>the Board.</w:t>
      </w:r>
    </w:p>
    <w:p>
      <w:pPr>
        <w:pStyle w:val="ListParagraph"/>
        <w:numPr>
          <w:ilvl w:val="1"/>
          <w:numId w:val="4"/>
        </w:numPr>
        <w:tabs>
          <w:tab w:pos="1889" w:val="left" w:leader="none"/>
        </w:tabs>
        <w:spacing w:line="252" w:lineRule="auto" w:before="159" w:after="0"/>
        <w:ind w:left="1888" w:right="1418" w:hanging="400"/>
        <w:jc w:val="left"/>
        <w:rPr>
          <w:sz w:val="20"/>
        </w:rPr>
      </w:pPr>
      <w:r>
        <w:rPr>
          <w:color w:val="231F20"/>
          <w:w w:val="105"/>
          <w:sz w:val="20"/>
        </w:rPr>
        <w:t>The Compensation Committee shall </w:t>
      </w:r>
      <w:r>
        <w:rPr>
          <w:color w:val="231F20"/>
          <w:spacing w:val="-3"/>
          <w:w w:val="105"/>
          <w:sz w:val="20"/>
        </w:rPr>
        <w:t>evaluate annually </w:t>
      </w:r>
      <w:r>
        <w:rPr>
          <w:color w:val="231F20"/>
          <w:w w:val="105"/>
          <w:sz w:val="20"/>
        </w:rPr>
        <w:t>the performance of each of the Executive Officers</w:t>
      </w:r>
      <w:r>
        <w:rPr>
          <w:color w:val="231F20"/>
          <w:spacing w:val="-7"/>
          <w:w w:val="105"/>
          <w:sz w:val="20"/>
        </w:rPr>
        <w:t> </w:t>
      </w:r>
      <w:r>
        <w:rPr>
          <w:color w:val="231F20"/>
          <w:w w:val="105"/>
          <w:sz w:val="20"/>
        </w:rPr>
        <w:t>and</w:t>
      </w:r>
      <w:r>
        <w:rPr>
          <w:color w:val="231F20"/>
          <w:spacing w:val="-7"/>
          <w:w w:val="105"/>
          <w:sz w:val="20"/>
        </w:rPr>
        <w:t> </w:t>
      </w:r>
      <w:r>
        <w:rPr>
          <w:color w:val="231F20"/>
          <w:w w:val="105"/>
          <w:sz w:val="20"/>
        </w:rPr>
        <w:t>shall</w:t>
      </w:r>
      <w:r>
        <w:rPr>
          <w:color w:val="231F20"/>
          <w:spacing w:val="-7"/>
          <w:w w:val="105"/>
          <w:sz w:val="20"/>
        </w:rPr>
        <w:t> </w:t>
      </w:r>
      <w:r>
        <w:rPr>
          <w:color w:val="231F20"/>
          <w:w w:val="105"/>
          <w:sz w:val="20"/>
        </w:rPr>
        <w:t>review</w:t>
      </w:r>
      <w:r>
        <w:rPr>
          <w:color w:val="231F20"/>
          <w:spacing w:val="-7"/>
          <w:w w:val="105"/>
          <w:sz w:val="20"/>
        </w:rPr>
        <w:t> </w:t>
      </w:r>
      <w:r>
        <w:rPr>
          <w:color w:val="231F20"/>
          <w:spacing w:val="-3"/>
          <w:w w:val="105"/>
          <w:sz w:val="20"/>
        </w:rPr>
        <w:t>at</w:t>
      </w:r>
      <w:r>
        <w:rPr>
          <w:color w:val="231F20"/>
          <w:spacing w:val="-7"/>
          <w:w w:val="105"/>
          <w:sz w:val="20"/>
        </w:rPr>
        <w:t> </w:t>
      </w:r>
      <w:r>
        <w:rPr>
          <w:color w:val="231F20"/>
          <w:w w:val="105"/>
          <w:sz w:val="20"/>
        </w:rPr>
        <w:t>least</w:t>
      </w:r>
      <w:r>
        <w:rPr>
          <w:color w:val="231F20"/>
          <w:spacing w:val="-7"/>
          <w:w w:val="105"/>
          <w:sz w:val="20"/>
        </w:rPr>
        <w:t> </w:t>
      </w:r>
      <w:r>
        <w:rPr>
          <w:color w:val="231F20"/>
          <w:spacing w:val="-3"/>
          <w:w w:val="105"/>
          <w:sz w:val="20"/>
        </w:rPr>
        <w:t>annually</w:t>
      </w:r>
      <w:r>
        <w:rPr>
          <w:color w:val="231F20"/>
          <w:spacing w:val="-7"/>
          <w:w w:val="105"/>
          <w:sz w:val="20"/>
        </w:rPr>
        <w:t> </w:t>
      </w:r>
      <w:r>
        <w:rPr>
          <w:color w:val="231F20"/>
          <w:w w:val="105"/>
          <w:sz w:val="20"/>
        </w:rPr>
        <w:t>the</w:t>
      </w:r>
      <w:r>
        <w:rPr>
          <w:color w:val="231F20"/>
          <w:spacing w:val="-6"/>
          <w:w w:val="105"/>
          <w:sz w:val="20"/>
        </w:rPr>
        <w:t> </w:t>
      </w:r>
      <w:r>
        <w:rPr>
          <w:color w:val="231F20"/>
          <w:w w:val="105"/>
          <w:sz w:val="20"/>
        </w:rPr>
        <w:t>Executive</w:t>
      </w:r>
      <w:r>
        <w:rPr>
          <w:color w:val="231F20"/>
          <w:spacing w:val="-7"/>
          <w:w w:val="105"/>
          <w:sz w:val="20"/>
        </w:rPr>
        <w:t> </w:t>
      </w:r>
      <w:r>
        <w:rPr>
          <w:color w:val="231F20"/>
          <w:w w:val="105"/>
          <w:sz w:val="20"/>
        </w:rPr>
        <w:t>Officers’</w:t>
      </w:r>
      <w:r>
        <w:rPr>
          <w:color w:val="231F20"/>
          <w:spacing w:val="-15"/>
          <w:w w:val="105"/>
          <w:sz w:val="20"/>
        </w:rPr>
        <w:t> </w:t>
      </w:r>
      <w:r>
        <w:rPr>
          <w:color w:val="231F20"/>
          <w:w w:val="105"/>
          <w:sz w:val="20"/>
        </w:rPr>
        <w:t>personal</w:t>
      </w:r>
      <w:r>
        <w:rPr>
          <w:color w:val="231F20"/>
          <w:spacing w:val="-7"/>
          <w:w w:val="105"/>
          <w:sz w:val="20"/>
        </w:rPr>
        <w:t> </w:t>
      </w:r>
      <w:r>
        <w:rPr>
          <w:color w:val="231F20"/>
          <w:w w:val="105"/>
          <w:sz w:val="20"/>
        </w:rPr>
        <w:t>compensation</w:t>
      </w:r>
      <w:r>
        <w:rPr>
          <w:color w:val="231F20"/>
          <w:spacing w:val="-6"/>
          <w:w w:val="105"/>
          <w:sz w:val="20"/>
        </w:rPr>
        <w:t> </w:t>
      </w:r>
      <w:r>
        <w:rPr>
          <w:color w:val="231F20"/>
          <w:w w:val="105"/>
          <w:sz w:val="20"/>
        </w:rPr>
        <w:t>programs in light of the </w:t>
      </w:r>
      <w:r>
        <w:rPr>
          <w:color w:val="231F20"/>
          <w:spacing w:val="-3"/>
          <w:w w:val="105"/>
          <w:sz w:val="20"/>
        </w:rPr>
        <w:t>Company’s </w:t>
      </w:r>
      <w:r>
        <w:rPr>
          <w:color w:val="231F20"/>
          <w:w w:val="105"/>
          <w:sz w:val="20"/>
        </w:rPr>
        <w:t>goals and objectives with respect to such </w:t>
      </w:r>
      <w:r>
        <w:rPr>
          <w:color w:val="231F20"/>
          <w:spacing w:val="-3"/>
          <w:w w:val="105"/>
          <w:sz w:val="20"/>
        </w:rPr>
        <w:t>programs, </w:t>
      </w:r>
      <w:r>
        <w:rPr>
          <w:color w:val="231F20"/>
          <w:w w:val="105"/>
          <w:sz w:val="20"/>
        </w:rPr>
        <w:t>and</w:t>
      </w:r>
      <w:r>
        <w:rPr>
          <w:color w:val="231F20"/>
          <w:spacing w:val="7"/>
          <w:w w:val="105"/>
          <w:sz w:val="20"/>
        </w:rPr>
        <w:t> </w:t>
      </w:r>
      <w:r>
        <w:rPr>
          <w:color w:val="231F20"/>
          <w:w w:val="105"/>
          <w:sz w:val="20"/>
        </w:rPr>
        <w:t>recommend</w:t>
      </w:r>
    </w:p>
    <w:p>
      <w:pPr>
        <w:pStyle w:val="BodyText"/>
        <w:ind w:left="1888"/>
      </w:pPr>
      <w:r>
        <w:rPr>
          <w:color w:val="231F20"/>
          <w:w w:val="110"/>
        </w:rPr>
        <w:t>any changes to the Board.</w:t>
      </w:r>
    </w:p>
    <w:p>
      <w:pPr>
        <w:pStyle w:val="BodyText"/>
        <w:spacing w:before="10"/>
        <w:rPr>
          <w:sz w:val="21"/>
        </w:rPr>
      </w:pPr>
    </w:p>
    <w:p>
      <w:pPr>
        <w:pStyle w:val="ListParagraph"/>
        <w:numPr>
          <w:ilvl w:val="0"/>
          <w:numId w:val="4"/>
        </w:numPr>
        <w:tabs>
          <w:tab w:pos="1489" w:val="left" w:leader="none"/>
          <w:tab w:pos="1490" w:val="left" w:leader="none"/>
        </w:tabs>
        <w:spacing w:line="240" w:lineRule="auto" w:before="0" w:after="0"/>
        <w:ind w:left="1489" w:right="0" w:hanging="400"/>
        <w:jc w:val="left"/>
        <w:rPr>
          <w:b/>
          <w:sz w:val="20"/>
        </w:rPr>
      </w:pPr>
      <w:r>
        <w:rPr>
          <w:b/>
          <w:color w:val="231F20"/>
          <w:sz w:val="20"/>
          <w:u w:val="single" w:color="231F20"/>
        </w:rPr>
        <w:t>General Parameters for Examining the Compensation</w:t>
      </w:r>
      <w:r>
        <w:rPr>
          <w:b/>
          <w:color w:val="231F20"/>
          <w:spacing w:val="-18"/>
          <w:sz w:val="20"/>
          <w:u w:val="single" w:color="231F20"/>
        </w:rPr>
        <w:t> </w:t>
      </w:r>
      <w:r>
        <w:rPr>
          <w:b/>
          <w:color w:val="231F20"/>
          <w:spacing w:val="-3"/>
          <w:sz w:val="20"/>
          <w:u w:val="single" w:color="231F20"/>
        </w:rPr>
        <w:t>Terms</w:t>
      </w:r>
    </w:p>
    <w:p>
      <w:pPr>
        <w:pStyle w:val="BodyText"/>
        <w:spacing w:line="249" w:lineRule="auto" w:before="169"/>
        <w:ind w:left="1489" w:right="1553"/>
      </w:pPr>
      <w:r>
        <w:rPr>
          <w:color w:val="231F20"/>
          <w:w w:val="105"/>
        </w:rPr>
        <w:t>In general, the compensation terms for Officers shall be examined, while taking into consideration, inter alia, the following parameters:</w:t>
      </w:r>
    </w:p>
    <w:p>
      <w:pPr>
        <w:pStyle w:val="ListParagraph"/>
        <w:numPr>
          <w:ilvl w:val="2"/>
          <w:numId w:val="6"/>
        </w:numPr>
        <w:tabs>
          <w:tab w:pos="2068" w:val="left" w:leader="none"/>
        </w:tabs>
        <w:spacing w:line="249" w:lineRule="auto" w:before="160" w:after="0"/>
        <w:ind w:left="2067" w:right="1878" w:hanging="579"/>
        <w:jc w:val="left"/>
        <w:rPr>
          <w:sz w:val="20"/>
        </w:rPr>
      </w:pPr>
      <w:r>
        <w:rPr>
          <w:color w:val="231F20"/>
          <w:w w:val="105"/>
          <w:sz w:val="20"/>
        </w:rPr>
        <w:t>The education, qualifications, expertise, seniority (in the Company in particular, and in the </w:t>
      </w:r>
      <w:r>
        <w:rPr>
          <w:color w:val="231F20"/>
          <w:spacing w:val="-3"/>
          <w:w w:val="105"/>
          <w:sz w:val="20"/>
        </w:rPr>
        <w:t>Officer’s</w:t>
      </w:r>
      <w:r>
        <w:rPr>
          <w:color w:val="231F20"/>
          <w:spacing w:val="-10"/>
          <w:w w:val="105"/>
          <w:sz w:val="20"/>
        </w:rPr>
        <w:t> </w:t>
      </w:r>
      <w:r>
        <w:rPr>
          <w:color w:val="231F20"/>
          <w:w w:val="105"/>
          <w:sz w:val="20"/>
        </w:rPr>
        <w:t>profession</w:t>
      </w:r>
      <w:r>
        <w:rPr>
          <w:color w:val="231F20"/>
          <w:spacing w:val="-10"/>
          <w:w w:val="105"/>
          <w:sz w:val="20"/>
        </w:rPr>
        <w:t> </w:t>
      </w:r>
      <w:r>
        <w:rPr>
          <w:color w:val="231F20"/>
          <w:w w:val="105"/>
          <w:sz w:val="20"/>
        </w:rPr>
        <w:t>in</w:t>
      </w:r>
      <w:r>
        <w:rPr>
          <w:color w:val="231F20"/>
          <w:spacing w:val="-10"/>
          <w:w w:val="105"/>
          <w:sz w:val="20"/>
        </w:rPr>
        <w:t> </w:t>
      </w:r>
      <w:r>
        <w:rPr>
          <w:color w:val="231F20"/>
          <w:w w:val="105"/>
          <w:sz w:val="20"/>
        </w:rPr>
        <w:t>general),</w:t>
      </w:r>
      <w:r>
        <w:rPr>
          <w:color w:val="231F20"/>
          <w:spacing w:val="-10"/>
          <w:w w:val="105"/>
          <w:sz w:val="20"/>
        </w:rPr>
        <w:t> </w:t>
      </w:r>
      <w:r>
        <w:rPr>
          <w:color w:val="231F20"/>
          <w:w w:val="105"/>
          <w:sz w:val="20"/>
        </w:rPr>
        <w:t>professional</w:t>
      </w:r>
      <w:r>
        <w:rPr>
          <w:color w:val="231F20"/>
          <w:spacing w:val="-10"/>
          <w:w w:val="105"/>
          <w:sz w:val="20"/>
        </w:rPr>
        <w:t> </w:t>
      </w:r>
      <w:r>
        <w:rPr>
          <w:color w:val="231F20"/>
          <w:w w:val="105"/>
          <w:sz w:val="20"/>
        </w:rPr>
        <w:t>experience</w:t>
      </w:r>
      <w:r>
        <w:rPr>
          <w:color w:val="231F20"/>
          <w:spacing w:val="-9"/>
          <w:w w:val="105"/>
          <w:sz w:val="20"/>
        </w:rPr>
        <w:t> </w:t>
      </w:r>
      <w:r>
        <w:rPr>
          <w:color w:val="231F20"/>
          <w:w w:val="105"/>
          <w:sz w:val="20"/>
        </w:rPr>
        <w:t>and</w:t>
      </w:r>
      <w:r>
        <w:rPr>
          <w:color w:val="231F20"/>
          <w:spacing w:val="-10"/>
          <w:w w:val="105"/>
          <w:sz w:val="20"/>
        </w:rPr>
        <w:t> </w:t>
      </w:r>
      <w:r>
        <w:rPr>
          <w:color w:val="231F20"/>
          <w:w w:val="105"/>
          <w:sz w:val="20"/>
        </w:rPr>
        <w:t>achievements</w:t>
      </w:r>
      <w:r>
        <w:rPr>
          <w:color w:val="231F20"/>
          <w:spacing w:val="-10"/>
          <w:w w:val="105"/>
          <w:sz w:val="20"/>
        </w:rPr>
        <w:t> </w:t>
      </w:r>
      <w:r>
        <w:rPr>
          <w:color w:val="231F20"/>
          <w:w w:val="105"/>
          <w:sz w:val="20"/>
        </w:rPr>
        <w:t>of</w:t>
      </w:r>
      <w:r>
        <w:rPr>
          <w:color w:val="231F20"/>
          <w:spacing w:val="7"/>
          <w:w w:val="105"/>
          <w:sz w:val="20"/>
        </w:rPr>
        <w:t> </w:t>
      </w:r>
      <w:r>
        <w:rPr>
          <w:color w:val="231F20"/>
          <w:w w:val="105"/>
          <w:sz w:val="20"/>
        </w:rPr>
        <w:t>the</w:t>
      </w:r>
      <w:r>
        <w:rPr>
          <w:color w:val="231F20"/>
          <w:spacing w:val="-10"/>
          <w:w w:val="105"/>
          <w:sz w:val="20"/>
        </w:rPr>
        <w:t> </w:t>
      </w:r>
      <w:r>
        <w:rPr>
          <w:color w:val="231F20"/>
          <w:w w:val="105"/>
          <w:sz w:val="20"/>
        </w:rPr>
        <w:t>Officer;</w:t>
      </w:r>
    </w:p>
    <w:p>
      <w:pPr>
        <w:pStyle w:val="ListParagraph"/>
        <w:numPr>
          <w:ilvl w:val="2"/>
          <w:numId w:val="6"/>
        </w:numPr>
        <w:tabs>
          <w:tab w:pos="2068" w:val="left" w:leader="none"/>
        </w:tabs>
        <w:spacing w:line="240" w:lineRule="auto" w:before="160" w:after="0"/>
        <w:ind w:left="2067" w:right="0" w:hanging="579"/>
        <w:jc w:val="left"/>
        <w:rPr>
          <w:sz w:val="20"/>
        </w:rPr>
      </w:pPr>
      <w:r>
        <w:rPr>
          <w:color w:val="231F20"/>
          <w:w w:val="105"/>
          <w:sz w:val="20"/>
        </w:rPr>
        <w:t>The </w:t>
      </w:r>
      <w:r>
        <w:rPr>
          <w:color w:val="231F20"/>
          <w:spacing w:val="-3"/>
          <w:w w:val="105"/>
          <w:sz w:val="20"/>
        </w:rPr>
        <w:t>Officer’s </w:t>
      </w:r>
      <w:r>
        <w:rPr>
          <w:color w:val="231F20"/>
          <w:w w:val="105"/>
          <w:sz w:val="20"/>
        </w:rPr>
        <w:t>position, and his previous agreements with the</w:t>
      </w:r>
      <w:r>
        <w:rPr>
          <w:color w:val="231F20"/>
          <w:spacing w:val="-28"/>
          <w:w w:val="105"/>
          <w:sz w:val="20"/>
        </w:rPr>
        <w:t> </w:t>
      </w:r>
      <w:r>
        <w:rPr>
          <w:color w:val="231F20"/>
          <w:w w:val="105"/>
          <w:sz w:val="20"/>
        </w:rPr>
        <w:t>Company;</w:t>
      </w:r>
    </w:p>
    <w:p>
      <w:pPr>
        <w:pStyle w:val="ListParagraph"/>
        <w:numPr>
          <w:ilvl w:val="2"/>
          <w:numId w:val="6"/>
        </w:numPr>
        <w:tabs>
          <w:tab w:pos="2068" w:val="left" w:leader="none"/>
        </w:tabs>
        <w:spacing w:line="240" w:lineRule="auto" w:before="170" w:after="0"/>
        <w:ind w:left="2067" w:right="0" w:hanging="579"/>
        <w:jc w:val="left"/>
        <w:rPr>
          <w:sz w:val="20"/>
        </w:rPr>
      </w:pPr>
      <w:r>
        <w:rPr>
          <w:color w:val="231F20"/>
          <w:w w:val="110"/>
          <w:sz w:val="20"/>
        </w:rPr>
        <w:t>The</w:t>
      </w:r>
      <w:r>
        <w:rPr>
          <w:color w:val="231F20"/>
          <w:spacing w:val="-10"/>
          <w:w w:val="110"/>
          <w:sz w:val="20"/>
        </w:rPr>
        <w:t> </w:t>
      </w:r>
      <w:r>
        <w:rPr>
          <w:color w:val="231F20"/>
          <w:spacing w:val="-3"/>
          <w:w w:val="110"/>
          <w:sz w:val="20"/>
        </w:rPr>
        <w:t>Officer’s</w:t>
      </w:r>
      <w:r>
        <w:rPr>
          <w:color w:val="231F20"/>
          <w:spacing w:val="-9"/>
          <w:w w:val="110"/>
          <w:sz w:val="20"/>
        </w:rPr>
        <w:t> </w:t>
      </w:r>
      <w:r>
        <w:rPr>
          <w:color w:val="231F20"/>
          <w:w w:val="110"/>
          <w:sz w:val="20"/>
        </w:rPr>
        <w:t>contribution</w:t>
      </w:r>
      <w:r>
        <w:rPr>
          <w:color w:val="231F20"/>
          <w:spacing w:val="-9"/>
          <w:w w:val="110"/>
          <w:sz w:val="20"/>
        </w:rPr>
        <w:t> </w:t>
      </w:r>
      <w:r>
        <w:rPr>
          <w:color w:val="231F20"/>
          <w:w w:val="110"/>
          <w:sz w:val="20"/>
        </w:rPr>
        <w:t>to</w:t>
      </w:r>
      <w:r>
        <w:rPr>
          <w:color w:val="231F20"/>
          <w:spacing w:val="-10"/>
          <w:w w:val="110"/>
          <w:sz w:val="20"/>
        </w:rPr>
        <w:t> </w:t>
      </w:r>
      <w:r>
        <w:rPr>
          <w:color w:val="231F20"/>
          <w:w w:val="110"/>
          <w:sz w:val="20"/>
        </w:rPr>
        <w:t>the</w:t>
      </w:r>
      <w:r>
        <w:rPr>
          <w:color w:val="231F20"/>
          <w:spacing w:val="-9"/>
          <w:w w:val="110"/>
          <w:sz w:val="20"/>
        </w:rPr>
        <w:t> </w:t>
      </w:r>
      <w:r>
        <w:rPr>
          <w:color w:val="231F20"/>
          <w:spacing w:val="-3"/>
          <w:w w:val="110"/>
          <w:sz w:val="20"/>
        </w:rPr>
        <w:t>Company’s</w:t>
      </w:r>
      <w:r>
        <w:rPr>
          <w:color w:val="231F20"/>
          <w:spacing w:val="-9"/>
          <w:w w:val="110"/>
          <w:sz w:val="20"/>
        </w:rPr>
        <w:t> </w:t>
      </w:r>
      <w:r>
        <w:rPr>
          <w:color w:val="231F20"/>
          <w:w w:val="110"/>
          <w:sz w:val="20"/>
        </w:rPr>
        <w:t>business,</w:t>
      </w:r>
      <w:r>
        <w:rPr>
          <w:color w:val="231F20"/>
          <w:spacing w:val="-10"/>
          <w:w w:val="110"/>
          <w:sz w:val="20"/>
        </w:rPr>
        <w:t> </w:t>
      </w:r>
      <w:r>
        <w:rPr>
          <w:color w:val="231F20"/>
          <w:w w:val="110"/>
          <w:sz w:val="20"/>
        </w:rPr>
        <w:t>profits</w:t>
      </w:r>
      <w:r>
        <w:rPr>
          <w:color w:val="231F20"/>
          <w:spacing w:val="-9"/>
          <w:w w:val="110"/>
          <w:sz w:val="20"/>
        </w:rPr>
        <w:t> </w:t>
      </w:r>
      <w:r>
        <w:rPr>
          <w:color w:val="231F20"/>
          <w:w w:val="110"/>
          <w:sz w:val="20"/>
        </w:rPr>
        <w:t>and</w:t>
      </w:r>
      <w:r>
        <w:rPr>
          <w:color w:val="231F20"/>
          <w:spacing w:val="-9"/>
          <w:w w:val="110"/>
          <w:sz w:val="20"/>
        </w:rPr>
        <w:t> </w:t>
      </w:r>
      <w:r>
        <w:rPr>
          <w:color w:val="231F20"/>
          <w:w w:val="110"/>
          <w:sz w:val="20"/>
        </w:rPr>
        <w:t>stability;</w:t>
      </w:r>
    </w:p>
    <w:p>
      <w:pPr>
        <w:pStyle w:val="ListParagraph"/>
        <w:numPr>
          <w:ilvl w:val="2"/>
          <w:numId w:val="6"/>
        </w:numPr>
        <w:tabs>
          <w:tab w:pos="2068" w:val="left" w:leader="none"/>
        </w:tabs>
        <w:spacing w:line="249" w:lineRule="auto" w:before="169" w:after="0"/>
        <w:ind w:left="2067" w:right="1440" w:hanging="579"/>
        <w:jc w:val="left"/>
        <w:rPr>
          <w:sz w:val="20"/>
        </w:rPr>
      </w:pPr>
      <w:r>
        <w:rPr>
          <w:color w:val="231F20"/>
          <w:w w:val="105"/>
          <w:sz w:val="20"/>
        </w:rPr>
        <w:t>The degree of responsibility imposed on the Officer; The </w:t>
      </w:r>
      <w:r>
        <w:rPr>
          <w:color w:val="231F20"/>
          <w:spacing w:val="-3"/>
          <w:w w:val="105"/>
          <w:sz w:val="20"/>
        </w:rPr>
        <w:t>Company’s </w:t>
      </w:r>
      <w:r>
        <w:rPr>
          <w:color w:val="231F20"/>
          <w:w w:val="105"/>
          <w:sz w:val="20"/>
        </w:rPr>
        <w:t>need to retain officers</w:t>
      </w:r>
      <w:r>
        <w:rPr>
          <w:color w:val="231F20"/>
          <w:spacing w:val="-36"/>
          <w:w w:val="105"/>
          <w:sz w:val="20"/>
        </w:rPr>
        <w:t> </w:t>
      </w:r>
      <w:r>
        <w:rPr>
          <w:color w:val="231F20"/>
          <w:w w:val="105"/>
          <w:sz w:val="20"/>
        </w:rPr>
        <w:t>who </w:t>
      </w:r>
      <w:r>
        <w:rPr>
          <w:color w:val="231F20"/>
          <w:spacing w:val="-5"/>
          <w:w w:val="105"/>
          <w:sz w:val="20"/>
        </w:rPr>
        <w:t>have </w:t>
      </w:r>
      <w:r>
        <w:rPr>
          <w:color w:val="231F20"/>
          <w:w w:val="105"/>
          <w:sz w:val="20"/>
        </w:rPr>
        <w:t>skills, know-how or unique</w:t>
      </w:r>
      <w:r>
        <w:rPr>
          <w:color w:val="231F20"/>
          <w:spacing w:val="-14"/>
          <w:w w:val="105"/>
          <w:sz w:val="20"/>
        </w:rPr>
        <w:t> </w:t>
      </w:r>
      <w:r>
        <w:rPr>
          <w:color w:val="231F20"/>
          <w:w w:val="105"/>
          <w:sz w:val="20"/>
        </w:rPr>
        <w:t>expertise;</w:t>
      </w:r>
    </w:p>
    <w:p>
      <w:pPr>
        <w:pStyle w:val="ListParagraph"/>
        <w:numPr>
          <w:ilvl w:val="2"/>
          <w:numId w:val="6"/>
        </w:numPr>
        <w:tabs>
          <w:tab w:pos="2068" w:val="left" w:leader="none"/>
        </w:tabs>
        <w:spacing w:line="240" w:lineRule="auto" w:before="160" w:after="0"/>
        <w:ind w:left="2067" w:right="0" w:hanging="579"/>
        <w:jc w:val="left"/>
        <w:rPr>
          <w:sz w:val="20"/>
        </w:rPr>
      </w:pPr>
      <w:r>
        <w:rPr>
          <w:color w:val="231F20"/>
          <w:w w:val="105"/>
          <w:sz w:val="20"/>
        </w:rPr>
        <w:t>The </w:t>
      </w:r>
      <w:r>
        <w:rPr>
          <w:color w:val="231F20"/>
          <w:spacing w:val="-3"/>
          <w:w w:val="105"/>
          <w:sz w:val="20"/>
        </w:rPr>
        <w:t>Company’s </w:t>
      </w:r>
      <w:r>
        <w:rPr>
          <w:color w:val="231F20"/>
          <w:w w:val="105"/>
          <w:sz w:val="20"/>
        </w:rPr>
        <w:t>global</w:t>
      </w:r>
      <w:r>
        <w:rPr>
          <w:color w:val="231F20"/>
          <w:spacing w:val="-8"/>
          <w:w w:val="105"/>
          <w:sz w:val="20"/>
        </w:rPr>
        <w:t> </w:t>
      </w:r>
      <w:r>
        <w:rPr>
          <w:color w:val="231F20"/>
          <w:w w:val="105"/>
          <w:sz w:val="20"/>
        </w:rPr>
        <w:t>nature;</w:t>
      </w:r>
    </w:p>
    <w:p>
      <w:pPr>
        <w:pStyle w:val="ListParagraph"/>
        <w:numPr>
          <w:ilvl w:val="2"/>
          <w:numId w:val="6"/>
        </w:numPr>
        <w:tabs>
          <w:tab w:pos="2068" w:val="left" w:leader="none"/>
        </w:tabs>
        <w:spacing w:line="249" w:lineRule="auto" w:before="169" w:after="0"/>
        <w:ind w:left="2067" w:right="1386" w:hanging="579"/>
        <w:jc w:val="left"/>
        <w:rPr>
          <w:sz w:val="20"/>
        </w:rPr>
      </w:pPr>
      <w:r>
        <w:rPr>
          <w:color w:val="231F20"/>
          <w:w w:val="105"/>
          <w:sz w:val="20"/>
        </w:rPr>
        <w:t>The</w:t>
      </w:r>
      <w:r>
        <w:rPr>
          <w:color w:val="231F20"/>
          <w:spacing w:val="-5"/>
          <w:w w:val="105"/>
          <w:sz w:val="20"/>
        </w:rPr>
        <w:t> </w:t>
      </w:r>
      <w:r>
        <w:rPr>
          <w:color w:val="231F20"/>
          <w:w w:val="105"/>
          <w:sz w:val="20"/>
        </w:rPr>
        <w:t>ratio</w:t>
      </w:r>
      <w:r>
        <w:rPr>
          <w:color w:val="231F20"/>
          <w:spacing w:val="-5"/>
          <w:w w:val="105"/>
          <w:sz w:val="20"/>
        </w:rPr>
        <w:t> </w:t>
      </w:r>
      <w:r>
        <w:rPr>
          <w:color w:val="231F20"/>
          <w:w w:val="105"/>
          <w:sz w:val="20"/>
        </w:rPr>
        <w:t>between</w:t>
      </w:r>
      <w:r>
        <w:rPr>
          <w:color w:val="231F20"/>
          <w:spacing w:val="-5"/>
          <w:w w:val="105"/>
          <w:sz w:val="20"/>
        </w:rPr>
        <w:t> </w:t>
      </w:r>
      <w:r>
        <w:rPr>
          <w:color w:val="231F20"/>
          <w:w w:val="105"/>
          <w:sz w:val="20"/>
        </w:rPr>
        <w:t>the</w:t>
      </w:r>
      <w:r>
        <w:rPr>
          <w:color w:val="231F20"/>
          <w:spacing w:val="-5"/>
          <w:w w:val="105"/>
          <w:sz w:val="20"/>
        </w:rPr>
        <w:t> </w:t>
      </w:r>
      <w:r>
        <w:rPr>
          <w:color w:val="231F20"/>
          <w:spacing w:val="-3"/>
          <w:w w:val="105"/>
          <w:sz w:val="20"/>
        </w:rPr>
        <w:t>Officer’s</w:t>
      </w:r>
      <w:r>
        <w:rPr>
          <w:color w:val="231F20"/>
          <w:spacing w:val="-5"/>
          <w:w w:val="105"/>
          <w:sz w:val="20"/>
        </w:rPr>
        <w:t> </w:t>
      </w:r>
      <w:r>
        <w:rPr>
          <w:color w:val="231F20"/>
          <w:w w:val="105"/>
          <w:sz w:val="20"/>
        </w:rPr>
        <w:t>employment</w:t>
      </w:r>
      <w:r>
        <w:rPr>
          <w:color w:val="231F20"/>
          <w:spacing w:val="-5"/>
          <w:w w:val="105"/>
          <w:sz w:val="20"/>
        </w:rPr>
        <w:t> </w:t>
      </w:r>
      <w:r>
        <w:rPr>
          <w:color w:val="231F20"/>
          <w:w w:val="105"/>
          <w:sz w:val="20"/>
        </w:rPr>
        <w:t>terms</w:t>
      </w:r>
      <w:r>
        <w:rPr>
          <w:color w:val="231F20"/>
          <w:spacing w:val="-5"/>
          <w:w w:val="105"/>
          <w:sz w:val="20"/>
        </w:rPr>
        <w:t> </w:t>
      </w:r>
      <w:r>
        <w:rPr>
          <w:color w:val="231F20"/>
          <w:w w:val="105"/>
          <w:sz w:val="20"/>
        </w:rPr>
        <w:t>and</w:t>
      </w:r>
      <w:r>
        <w:rPr>
          <w:color w:val="231F20"/>
          <w:spacing w:val="-4"/>
          <w:w w:val="105"/>
          <w:sz w:val="20"/>
        </w:rPr>
        <w:t> </w:t>
      </w:r>
      <w:r>
        <w:rPr>
          <w:color w:val="231F20"/>
          <w:w w:val="105"/>
          <w:sz w:val="20"/>
        </w:rPr>
        <w:t>conditions</w:t>
      </w:r>
      <w:r>
        <w:rPr>
          <w:color w:val="231F20"/>
          <w:spacing w:val="-5"/>
          <w:w w:val="105"/>
          <w:sz w:val="20"/>
        </w:rPr>
        <w:t> </w:t>
      </w:r>
      <w:r>
        <w:rPr>
          <w:color w:val="231F20"/>
          <w:w w:val="105"/>
          <w:sz w:val="20"/>
        </w:rPr>
        <w:t>and</w:t>
      </w:r>
      <w:r>
        <w:rPr>
          <w:color w:val="231F20"/>
          <w:spacing w:val="-5"/>
          <w:w w:val="105"/>
          <w:sz w:val="20"/>
        </w:rPr>
        <w:t> </w:t>
      </w:r>
      <w:r>
        <w:rPr>
          <w:color w:val="231F20"/>
          <w:w w:val="105"/>
          <w:sz w:val="20"/>
        </w:rPr>
        <w:t>other</w:t>
      </w:r>
      <w:r>
        <w:rPr>
          <w:color w:val="231F20"/>
          <w:spacing w:val="-5"/>
          <w:w w:val="105"/>
          <w:sz w:val="20"/>
        </w:rPr>
        <w:t> </w:t>
      </w:r>
      <w:r>
        <w:rPr>
          <w:color w:val="231F20"/>
          <w:w w:val="105"/>
          <w:sz w:val="20"/>
        </w:rPr>
        <w:t>Company</w:t>
      </w:r>
      <w:r>
        <w:rPr>
          <w:color w:val="231F20"/>
          <w:spacing w:val="-5"/>
          <w:w w:val="105"/>
          <w:sz w:val="20"/>
        </w:rPr>
        <w:t> </w:t>
      </w:r>
      <w:r>
        <w:rPr>
          <w:color w:val="231F20"/>
          <w:w w:val="105"/>
          <w:sz w:val="20"/>
        </w:rPr>
        <w:t>employees and/or contract </w:t>
      </w:r>
      <w:r>
        <w:rPr>
          <w:color w:val="231F20"/>
          <w:spacing w:val="-3"/>
          <w:w w:val="105"/>
          <w:sz w:val="20"/>
        </w:rPr>
        <w:t>workers </w:t>
      </w:r>
      <w:r>
        <w:rPr>
          <w:color w:val="231F20"/>
          <w:w w:val="105"/>
          <w:sz w:val="20"/>
        </w:rPr>
        <w:t>employed by the Company and in particular the ratio between</w:t>
      </w:r>
      <w:r>
        <w:rPr>
          <w:color w:val="231F20"/>
          <w:spacing w:val="34"/>
          <w:w w:val="105"/>
          <w:sz w:val="20"/>
        </w:rPr>
        <w:t> </w:t>
      </w:r>
      <w:r>
        <w:rPr>
          <w:color w:val="231F20"/>
          <w:w w:val="105"/>
          <w:sz w:val="20"/>
        </w:rPr>
        <w:t>such</w:t>
      </w:r>
    </w:p>
    <w:p>
      <w:pPr>
        <w:spacing w:after="0" w:line="249" w:lineRule="auto"/>
        <w:jc w:val="left"/>
        <w:rPr>
          <w:sz w:val="20"/>
        </w:rPr>
        <w:sectPr>
          <w:pgSz w:w="11880" w:h="15480"/>
          <w:pgMar w:header="0" w:footer="664" w:top="940" w:bottom="860" w:left="300" w:right="0"/>
        </w:sectPr>
      </w:pPr>
    </w:p>
    <w:p>
      <w:pPr>
        <w:pStyle w:val="BodyText"/>
        <w:spacing w:line="244" w:lineRule="auto" w:before="87"/>
        <w:ind w:left="2067" w:right="1386"/>
      </w:pPr>
      <w:r>
        <w:rPr>
          <w:color w:val="231F20"/>
          <w:w w:val="105"/>
        </w:rPr>
        <w:t>Officer’s compensation to the average wage and the median wage in the Company and the impact of the differences on labor relations in the Company.</w:t>
      </w:r>
    </w:p>
    <w:p>
      <w:pPr>
        <w:pStyle w:val="BodyText"/>
        <w:spacing w:before="7"/>
      </w:pPr>
    </w:p>
    <w:p>
      <w:pPr>
        <w:pStyle w:val="ListParagraph"/>
        <w:numPr>
          <w:ilvl w:val="0"/>
          <w:numId w:val="4"/>
        </w:numPr>
        <w:tabs>
          <w:tab w:pos="1489" w:val="left" w:leader="none"/>
          <w:tab w:pos="1490" w:val="left" w:leader="none"/>
        </w:tabs>
        <w:spacing w:line="240" w:lineRule="auto" w:before="1" w:after="0"/>
        <w:ind w:left="1489" w:right="0" w:hanging="400"/>
        <w:jc w:val="left"/>
        <w:rPr>
          <w:b/>
          <w:sz w:val="20"/>
        </w:rPr>
      </w:pPr>
      <w:r>
        <w:rPr>
          <w:b/>
          <w:color w:val="231F20"/>
          <w:sz w:val="20"/>
          <w:u w:val="single" w:color="231F20"/>
        </w:rPr>
        <w:t>Compensation</w:t>
      </w:r>
      <w:r>
        <w:rPr>
          <w:b/>
          <w:color w:val="231F20"/>
          <w:spacing w:val="-2"/>
          <w:sz w:val="20"/>
          <w:u w:val="single" w:color="231F20"/>
        </w:rPr>
        <w:t> </w:t>
      </w:r>
      <w:r>
        <w:rPr>
          <w:b/>
          <w:color w:val="231F20"/>
          <w:sz w:val="20"/>
          <w:u w:val="single" w:color="231F20"/>
        </w:rPr>
        <w:t>Program</w:t>
      </w:r>
    </w:p>
    <w:p>
      <w:pPr>
        <w:pStyle w:val="BodyText"/>
        <w:spacing w:line="244" w:lineRule="auto" w:before="169"/>
        <w:ind w:left="1489" w:right="1386"/>
      </w:pPr>
      <w:r>
        <w:rPr>
          <w:color w:val="231F20"/>
          <w:w w:val="105"/>
        </w:rPr>
        <w:t>The Company shall be entitled to grant to its Officers a compensation program which </w:t>
      </w:r>
      <w:r>
        <w:rPr>
          <w:color w:val="231F20"/>
          <w:spacing w:val="-3"/>
          <w:w w:val="105"/>
        </w:rPr>
        <w:t>may </w:t>
      </w:r>
      <w:r>
        <w:rPr>
          <w:color w:val="231F20"/>
          <w:w w:val="105"/>
        </w:rPr>
        <w:t>include </w:t>
      </w:r>
      <w:r>
        <w:rPr>
          <w:color w:val="231F20"/>
          <w:spacing w:val="-3"/>
          <w:w w:val="105"/>
        </w:rPr>
        <w:t>all </w:t>
      </w:r>
      <w:r>
        <w:rPr>
          <w:color w:val="231F20"/>
          <w:w w:val="105"/>
        </w:rPr>
        <w:t>or</w:t>
      </w:r>
      <w:r>
        <w:rPr>
          <w:color w:val="231F20"/>
          <w:spacing w:val="-12"/>
          <w:w w:val="105"/>
        </w:rPr>
        <w:t> </w:t>
      </w:r>
      <w:r>
        <w:rPr>
          <w:color w:val="231F20"/>
          <w:w w:val="105"/>
        </w:rPr>
        <w:t>some</w:t>
      </w:r>
      <w:r>
        <w:rPr>
          <w:color w:val="231F20"/>
          <w:spacing w:val="-11"/>
          <w:w w:val="105"/>
        </w:rPr>
        <w:t> </w:t>
      </w:r>
      <w:r>
        <w:rPr>
          <w:color w:val="231F20"/>
          <w:w w:val="105"/>
        </w:rPr>
        <w:t>of</w:t>
      </w:r>
      <w:r>
        <w:rPr>
          <w:color w:val="231F20"/>
          <w:spacing w:val="10"/>
          <w:w w:val="105"/>
        </w:rPr>
        <w:t> </w:t>
      </w:r>
      <w:r>
        <w:rPr>
          <w:color w:val="231F20"/>
          <w:w w:val="105"/>
        </w:rPr>
        <w:t>the</w:t>
      </w:r>
      <w:r>
        <w:rPr>
          <w:color w:val="231F20"/>
          <w:spacing w:val="-11"/>
          <w:w w:val="105"/>
        </w:rPr>
        <w:t> </w:t>
      </w:r>
      <w:r>
        <w:rPr>
          <w:color w:val="231F20"/>
          <w:w w:val="105"/>
        </w:rPr>
        <w:t>following</w:t>
      </w:r>
      <w:r>
        <w:rPr>
          <w:color w:val="231F20"/>
          <w:spacing w:val="-11"/>
          <w:w w:val="105"/>
        </w:rPr>
        <w:t> </w:t>
      </w:r>
      <w:r>
        <w:rPr>
          <w:color w:val="231F20"/>
          <w:w w:val="105"/>
        </w:rPr>
        <w:t>elements</w:t>
      </w:r>
      <w:r>
        <w:rPr>
          <w:color w:val="231F20"/>
          <w:spacing w:val="-11"/>
          <w:w w:val="105"/>
        </w:rPr>
        <w:t> </w:t>
      </w:r>
      <w:r>
        <w:rPr>
          <w:color w:val="231F20"/>
          <w:w w:val="105"/>
        </w:rPr>
        <w:t>as</w:t>
      </w:r>
      <w:r>
        <w:rPr>
          <w:color w:val="231F20"/>
          <w:spacing w:val="-11"/>
          <w:w w:val="105"/>
        </w:rPr>
        <w:t> </w:t>
      </w:r>
      <w:r>
        <w:rPr>
          <w:color w:val="231F20"/>
          <w:w w:val="105"/>
        </w:rPr>
        <w:t>set</w:t>
      </w:r>
      <w:r>
        <w:rPr>
          <w:color w:val="231F20"/>
          <w:spacing w:val="-11"/>
          <w:w w:val="105"/>
        </w:rPr>
        <w:t> </w:t>
      </w:r>
      <w:r>
        <w:rPr>
          <w:color w:val="231F20"/>
          <w:w w:val="105"/>
        </w:rPr>
        <w:t>forth</w:t>
      </w:r>
      <w:r>
        <w:rPr>
          <w:color w:val="231F20"/>
          <w:spacing w:val="-11"/>
          <w:w w:val="105"/>
        </w:rPr>
        <w:t> </w:t>
      </w:r>
      <w:r>
        <w:rPr>
          <w:color w:val="231F20"/>
          <w:w w:val="105"/>
        </w:rPr>
        <w:t>in</w:t>
      </w:r>
      <w:r>
        <w:rPr>
          <w:color w:val="231F20"/>
          <w:spacing w:val="-11"/>
          <w:w w:val="105"/>
        </w:rPr>
        <w:t> </w:t>
      </w:r>
      <w:r>
        <w:rPr>
          <w:color w:val="231F20"/>
          <w:w w:val="105"/>
        </w:rPr>
        <w:t>this</w:t>
      </w:r>
      <w:r>
        <w:rPr>
          <w:color w:val="231F20"/>
          <w:spacing w:val="-11"/>
          <w:w w:val="105"/>
        </w:rPr>
        <w:t> </w:t>
      </w:r>
      <w:r>
        <w:rPr>
          <w:color w:val="231F20"/>
          <w:w w:val="105"/>
        </w:rPr>
        <w:t>Compensation</w:t>
      </w:r>
      <w:r>
        <w:rPr>
          <w:color w:val="231F20"/>
          <w:spacing w:val="-11"/>
          <w:w w:val="105"/>
        </w:rPr>
        <w:t> </w:t>
      </w:r>
      <w:r>
        <w:rPr>
          <w:color w:val="231F20"/>
          <w:w w:val="105"/>
        </w:rPr>
        <w:t>Policy:</w:t>
      </w:r>
      <w:r>
        <w:rPr>
          <w:color w:val="231F20"/>
          <w:spacing w:val="-11"/>
          <w:w w:val="105"/>
        </w:rPr>
        <w:t> </w:t>
      </w:r>
      <w:r>
        <w:rPr>
          <w:color w:val="231F20"/>
          <w:w w:val="105"/>
        </w:rPr>
        <w:t>Fixed</w:t>
      </w:r>
      <w:r>
        <w:rPr>
          <w:color w:val="231F20"/>
          <w:spacing w:val="-11"/>
          <w:w w:val="105"/>
        </w:rPr>
        <w:t> </w:t>
      </w:r>
      <w:r>
        <w:rPr>
          <w:color w:val="231F20"/>
          <w:w w:val="105"/>
        </w:rPr>
        <w:t>Compensation,</w:t>
      </w:r>
      <w:r>
        <w:rPr>
          <w:color w:val="231F20"/>
          <w:spacing w:val="-11"/>
          <w:w w:val="105"/>
        </w:rPr>
        <w:t> </w:t>
      </w:r>
      <w:r>
        <w:rPr>
          <w:color w:val="231F20"/>
          <w:spacing w:val="-3"/>
          <w:w w:val="105"/>
        </w:rPr>
        <w:t>Annual </w:t>
      </w:r>
      <w:r>
        <w:rPr>
          <w:color w:val="231F20"/>
          <w:w w:val="105"/>
        </w:rPr>
        <w:t>Cash </w:t>
      </w:r>
      <w:r>
        <w:rPr>
          <w:color w:val="231F20"/>
          <w:spacing w:val="-3"/>
          <w:w w:val="105"/>
        </w:rPr>
        <w:t>Bonus, </w:t>
      </w:r>
      <w:r>
        <w:rPr>
          <w:color w:val="231F20"/>
          <w:w w:val="105"/>
        </w:rPr>
        <w:t>Share-Based Compensation, Special </w:t>
      </w:r>
      <w:r>
        <w:rPr>
          <w:color w:val="231F20"/>
          <w:spacing w:val="-3"/>
          <w:w w:val="105"/>
        </w:rPr>
        <w:t>Bonus, </w:t>
      </w:r>
      <w:r>
        <w:rPr>
          <w:color w:val="231F20"/>
          <w:w w:val="105"/>
        </w:rPr>
        <w:t>insurance, exemption, indemnification, and Retirement </w:t>
      </w:r>
      <w:r>
        <w:rPr>
          <w:color w:val="231F20"/>
          <w:spacing w:val="-4"/>
          <w:w w:val="105"/>
        </w:rPr>
        <w:t>Terms, </w:t>
      </w:r>
      <w:r>
        <w:rPr>
          <w:color w:val="231F20"/>
          <w:w w:val="105"/>
        </w:rPr>
        <w:t>as such terms are defined</w:t>
      </w:r>
      <w:r>
        <w:rPr>
          <w:color w:val="231F20"/>
          <w:spacing w:val="-19"/>
          <w:w w:val="105"/>
        </w:rPr>
        <w:t> </w:t>
      </w:r>
      <w:r>
        <w:rPr>
          <w:color w:val="231F20"/>
          <w:spacing w:val="-5"/>
          <w:w w:val="105"/>
        </w:rPr>
        <w:t>below.</w:t>
      </w:r>
    </w:p>
    <w:p>
      <w:pPr>
        <w:pStyle w:val="BodyText"/>
        <w:spacing w:before="5"/>
      </w:pPr>
    </w:p>
    <w:p>
      <w:pPr>
        <w:pStyle w:val="ListParagraph"/>
        <w:numPr>
          <w:ilvl w:val="0"/>
          <w:numId w:val="4"/>
        </w:numPr>
        <w:tabs>
          <w:tab w:pos="1489" w:val="left" w:leader="none"/>
          <w:tab w:pos="1490" w:val="left" w:leader="none"/>
        </w:tabs>
        <w:spacing w:line="240" w:lineRule="auto" w:before="0" w:after="0"/>
        <w:ind w:left="1489" w:right="0" w:hanging="400"/>
        <w:jc w:val="left"/>
        <w:rPr>
          <w:b/>
          <w:sz w:val="20"/>
        </w:rPr>
      </w:pPr>
      <w:r>
        <w:rPr>
          <w:b/>
          <w:color w:val="231F20"/>
          <w:sz w:val="20"/>
          <w:u w:val="single" w:color="231F20"/>
        </w:rPr>
        <w:t>Fixed</w:t>
      </w:r>
      <w:r>
        <w:rPr>
          <w:b/>
          <w:color w:val="231F20"/>
          <w:spacing w:val="-2"/>
          <w:sz w:val="20"/>
          <w:u w:val="single" w:color="231F20"/>
        </w:rPr>
        <w:t> </w:t>
      </w:r>
      <w:r>
        <w:rPr>
          <w:b/>
          <w:color w:val="231F20"/>
          <w:sz w:val="20"/>
          <w:u w:val="single" w:color="231F20"/>
        </w:rPr>
        <w:t>Compensation</w:t>
      </w:r>
    </w:p>
    <w:p>
      <w:pPr>
        <w:pStyle w:val="ListParagraph"/>
        <w:numPr>
          <w:ilvl w:val="1"/>
          <w:numId w:val="4"/>
        </w:numPr>
        <w:tabs>
          <w:tab w:pos="1889" w:val="left" w:leader="none"/>
        </w:tabs>
        <w:spacing w:line="240" w:lineRule="auto" w:before="169" w:after="0"/>
        <w:ind w:left="1888" w:right="0" w:hanging="400"/>
        <w:jc w:val="left"/>
        <w:rPr>
          <w:sz w:val="20"/>
        </w:rPr>
      </w:pPr>
      <w:r>
        <w:rPr>
          <w:color w:val="231F20"/>
          <w:w w:val="105"/>
          <w:sz w:val="20"/>
          <w:u w:val="single" w:color="231F20"/>
        </w:rPr>
        <w:t>Directors’</w:t>
      </w:r>
      <w:r>
        <w:rPr>
          <w:color w:val="231F20"/>
          <w:spacing w:val="-12"/>
          <w:w w:val="105"/>
          <w:sz w:val="20"/>
          <w:u w:val="single" w:color="231F20"/>
        </w:rPr>
        <w:t> </w:t>
      </w:r>
      <w:r>
        <w:rPr>
          <w:color w:val="231F20"/>
          <w:w w:val="105"/>
          <w:sz w:val="20"/>
          <w:u w:val="single" w:color="231F20"/>
        </w:rPr>
        <w:t>compensation</w:t>
      </w:r>
    </w:p>
    <w:p>
      <w:pPr>
        <w:pStyle w:val="BodyText"/>
        <w:spacing w:line="244" w:lineRule="auto" w:before="163"/>
        <w:ind w:left="1888" w:right="1469"/>
      </w:pPr>
      <w:r>
        <w:rPr>
          <w:color w:val="231F20"/>
          <w:w w:val="105"/>
        </w:rPr>
        <w:t>The compensation of the Directors shall be subject to the limitations as set in this Compensation </w:t>
      </w:r>
      <w:r>
        <w:rPr>
          <w:color w:val="231F20"/>
          <w:spacing w:val="-5"/>
          <w:w w:val="105"/>
        </w:rPr>
        <w:t>Policy. </w:t>
      </w:r>
      <w:r>
        <w:rPr>
          <w:color w:val="231F20"/>
          <w:w w:val="105"/>
        </w:rPr>
        <w:t>Unless otherwise set forth herein, the remuneration of the Directors shall be in accordance with the Companies Regulations </w:t>
      </w:r>
      <w:r>
        <w:rPr>
          <w:color w:val="231F20"/>
          <w:spacing w:val="-3"/>
          <w:w w:val="105"/>
        </w:rPr>
        <w:t>(Rules </w:t>
      </w:r>
      <w:r>
        <w:rPr>
          <w:color w:val="231F20"/>
          <w:w w:val="105"/>
        </w:rPr>
        <w:t>Regarding the Compensation and Expenses of an External</w:t>
      </w:r>
      <w:r>
        <w:rPr>
          <w:color w:val="231F20"/>
          <w:spacing w:val="-10"/>
          <w:w w:val="105"/>
        </w:rPr>
        <w:t> </w:t>
      </w:r>
      <w:r>
        <w:rPr>
          <w:color w:val="231F20"/>
          <w:w w:val="105"/>
        </w:rPr>
        <w:t>Director),</w:t>
      </w:r>
      <w:r>
        <w:rPr>
          <w:color w:val="231F20"/>
          <w:spacing w:val="-10"/>
          <w:w w:val="105"/>
        </w:rPr>
        <w:t> </w:t>
      </w:r>
      <w:r>
        <w:rPr>
          <w:color w:val="231F20"/>
          <w:w w:val="105"/>
        </w:rPr>
        <w:t>5760-2000</w:t>
      </w:r>
      <w:r>
        <w:rPr>
          <w:color w:val="231F20"/>
          <w:spacing w:val="-9"/>
          <w:w w:val="105"/>
        </w:rPr>
        <w:t> </w:t>
      </w:r>
      <w:r>
        <w:rPr>
          <w:color w:val="231F20"/>
          <w:w w:val="105"/>
        </w:rPr>
        <w:t>(“</w:t>
      </w:r>
      <w:r>
        <w:rPr>
          <w:b/>
          <w:color w:val="231F20"/>
          <w:w w:val="105"/>
        </w:rPr>
        <w:t>Compensation</w:t>
      </w:r>
      <w:r>
        <w:rPr>
          <w:b/>
          <w:color w:val="231F20"/>
          <w:spacing w:val="-10"/>
          <w:w w:val="105"/>
        </w:rPr>
        <w:t> </w:t>
      </w:r>
      <w:r>
        <w:rPr>
          <w:b/>
          <w:color w:val="231F20"/>
          <w:w w:val="105"/>
        </w:rPr>
        <w:t>of</w:t>
      </w:r>
      <w:r>
        <w:rPr>
          <w:b/>
          <w:color w:val="231F20"/>
          <w:spacing w:val="4"/>
          <w:w w:val="105"/>
        </w:rPr>
        <w:t> </w:t>
      </w:r>
      <w:r>
        <w:rPr>
          <w:b/>
          <w:color w:val="231F20"/>
          <w:w w:val="105"/>
        </w:rPr>
        <w:t>Directors</w:t>
      </w:r>
      <w:r>
        <w:rPr>
          <w:b/>
          <w:color w:val="231F20"/>
          <w:spacing w:val="-10"/>
          <w:w w:val="105"/>
        </w:rPr>
        <w:t> </w:t>
      </w:r>
      <w:r>
        <w:rPr>
          <w:b/>
          <w:color w:val="231F20"/>
          <w:w w:val="105"/>
        </w:rPr>
        <w:t>Regulations</w:t>
      </w:r>
      <w:r>
        <w:rPr>
          <w:color w:val="231F20"/>
          <w:w w:val="105"/>
        </w:rPr>
        <w:t>”).</w:t>
      </w:r>
    </w:p>
    <w:p>
      <w:pPr>
        <w:pStyle w:val="BodyText"/>
        <w:spacing w:line="244" w:lineRule="auto" w:before="156"/>
        <w:ind w:left="1888" w:right="1375"/>
      </w:pPr>
      <w:r>
        <w:rPr>
          <w:color w:val="231F20"/>
          <w:w w:val="110"/>
        </w:rPr>
        <w:t>Notwithstanding</w:t>
      </w:r>
      <w:r>
        <w:rPr>
          <w:color w:val="231F20"/>
          <w:spacing w:val="-19"/>
          <w:w w:val="110"/>
        </w:rPr>
        <w:t> </w:t>
      </w:r>
      <w:r>
        <w:rPr>
          <w:color w:val="231F20"/>
          <w:w w:val="110"/>
        </w:rPr>
        <w:t>anything</w:t>
      </w:r>
      <w:r>
        <w:rPr>
          <w:color w:val="231F20"/>
          <w:spacing w:val="-18"/>
          <w:w w:val="110"/>
        </w:rPr>
        <w:t> </w:t>
      </w:r>
      <w:r>
        <w:rPr>
          <w:color w:val="231F20"/>
          <w:w w:val="110"/>
        </w:rPr>
        <w:t>to</w:t>
      </w:r>
      <w:r>
        <w:rPr>
          <w:color w:val="231F20"/>
          <w:spacing w:val="-18"/>
          <w:w w:val="110"/>
        </w:rPr>
        <w:t> </w:t>
      </w:r>
      <w:r>
        <w:rPr>
          <w:color w:val="231F20"/>
          <w:w w:val="110"/>
        </w:rPr>
        <w:t>the</w:t>
      </w:r>
      <w:r>
        <w:rPr>
          <w:color w:val="231F20"/>
          <w:spacing w:val="-19"/>
          <w:w w:val="110"/>
        </w:rPr>
        <w:t> </w:t>
      </w:r>
      <w:r>
        <w:rPr>
          <w:color w:val="231F20"/>
          <w:w w:val="110"/>
        </w:rPr>
        <w:t>contrary</w:t>
      </w:r>
      <w:r>
        <w:rPr>
          <w:color w:val="231F20"/>
          <w:spacing w:val="-18"/>
          <w:w w:val="110"/>
        </w:rPr>
        <w:t> </w:t>
      </w:r>
      <w:r>
        <w:rPr>
          <w:color w:val="231F20"/>
          <w:w w:val="110"/>
        </w:rPr>
        <w:t>contained</w:t>
      </w:r>
      <w:r>
        <w:rPr>
          <w:color w:val="231F20"/>
          <w:spacing w:val="-18"/>
          <w:w w:val="110"/>
        </w:rPr>
        <w:t> </w:t>
      </w:r>
      <w:r>
        <w:rPr>
          <w:color w:val="231F20"/>
          <w:w w:val="110"/>
        </w:rPr>
        <w:t>herein,</w:t>
      </w:r>
      <w:r>
        <w:rPr>
          <w:color w:val="231F20"/>
          <w:spacing w:val="-18"/>
          <w:w w:val="110"/>
        </w:rPr>
        <w:t> </w:t>
      </w:r>
      <w:r>
        <w:rPr>
          <w:color w:val="231F20"/>
          <w:w w:val="110"/>
        </w:rPr>
        <w:t>an</w:t>
      </w:r>
      <w:r>
        <w:rPr>
          <w:color w:val="231F20"/>
          <w:spacing w:val="-19"/>
          <w:w w:val="110"/>
        </w:rPr>
        <w:t> </w:t>
      </w:r>
      <w:r>
        <w:rPr>
          <w:color w:val="231F20"/>
          <w:w w:val="110"/>
        </w:rPr>
        <w:t>active</w:t>
      </w:r>
      <w:r>
        <w:rPr>
          <w:color w:val="231F20"/>
          <w:spacing w:val="-18"/>
          <w:w w:val="110"/>
        </w:rPr>
        <w:t> </w:t>
      </w:r>
      <w:r>
        <w:rPr>
          <w:color w:val="231F20"/>
          <w:w w:val="110"/>
        </w:rPr>
        <w:t>chairman</w:t>
      </w:r>
      <w:r>
        <w:rPr>
          <w:color w:val="231F20"/>
          <w:spacing w:val="-18"/>
          <w:w w:val="110"/>
        </w:rPr>
        <w:t> </w:t>
      </w:r>
      <w:r>
        <w:rPr>
          <w:color w:val="231F20"/>
          <w:w w:val="110"/>
        </w:rPr>
        <w:t>of</w:t>
      </w:r>
      <w:r>
        <w:rPr>
          <w:color w:val="231F20"/>
          <w:spacing w:val="-4"/>
          <w:w w:val="110"/>
        </w:rPr>
        <w:t> </w:t>
      </w:r>
      <w:r>
        <w:rPr>
          <w:color w:val="231F20"/>
          <w:w w:val="110"/>
        </w:rPr>
        <w:t>the</w:t>
      </w:r>
      <w:r>
        <w:rPr>
          <w:color w:val="231F20"/>
          <w:spacing w:val="-19"/>
          <w:w w:val="110"/>
        </w:rPr>
        <w:t> </w:t>
      </w:r>
      <w:r>
        <w:rPr>
          <w:color w:val="231F20"/>
          <w:w w:val="110"/>
        </w:rPr>
        <w:t>Board</w:t>
      </w:r>
      <w:r>
        <w:rPr>
          <w:color w:val="231F20"/>
          <w:spacing w:val="-18"/>
          <w:w w:val="110"/>
        </w:rPr>
        <w:t> </w:t>
      </w:r>
      <w:r>
        <w:rPr>
          <w:color w:val="231F20"/>
          <w:w w:val="110"/>
        </w:rPr>
        <w:t>(the “</w:t>
      </w:r>
      <w:r>
        <w:rPr>
          <w:b/>
          <w:color w:val="231F20"/>
          <w:w w:val="110"/>
        </w:rPr>
        <w:t>Chairman</w:t>
      </w:r>
      <w:r>
        <w:rPr>
          <w:color w:val="231F20"/>
          <w:w w:val="110"/>
        </w:rPr>
        <w:t>”)</w:t>
      </w:r>
      <w:r>
        <w:rPr>
          <w:color w:val="231F20"/>
          <w:spacing w:val="-31"/>
          <w:w w:val="110"/>
        </w:rPr>
        <w:t> </w:t>
      </w:r>
      <w:r>
        <w:rPr>
          <w:color w:val="231F20"/>
          <w:w w:val="110"/>
        </w:rPr>
        <w:t>who</w:t>
      </w:r>
      <w:r>
        <w:rPr>
          <w:color w:val="231F20"/>
          <w:spacing w:val="-31"/>
          <w:w w:val="110"/>
        </w:rPr>
        <w:t> </w:t>
      </w:r>
      <w:r>
        <w:rPr>
          <w:color w:val="231F20"/>
          <w:spacing w:val="-4"/>
          <w:w w:val="110"/>
        </w:rPr>
        <w:t>takes</w:t>
      </w:r>
      <w:r>
        <w:rPr>
          <w:color w:val="231F20"/>
          <w:spacing w:val="-30"/>
          <w:w w:val="110"/>
        </w:rPr>
        <w:t> </w:t>
      </w:r>
      <w:r>
        <w:rPr>
          <w:color w:val="231F20"/>
          <w:w w:val="110"/>
        </w:rPr>
        <w:t>on</w:t>
      </w:r>
      <w:r>
        <w:rPr>
          <w:color w:val="231F20"/>
          <w:spacing w:val="-31"/>
          <w:w w:val="110"/>
        </w:rPr>
        <w:t> </w:t>
      </w:r>
      <w:r>
        <w:rPr>
          <w:color w:val="231F20"/>
          <w:w w:val="110"/>
        </w:rPr>
        <w:t>increased</w:t>
      </w:r>
      <w:r>
        <w:rPr>
          <w:color w:val="231F20"/>
          <w:spacing w:val="-31"/>
          <w:w w:val="110"/>
        </w:rPr>
        <w:t> </w:t>
      </w:r>
      <w:r>
        <w:rPr>
          <w:color w:val="231F20"/>
          <w:w w:val="110"/>
        </w:rPr>
        <w:t>duties</w:t>
      </w:r>
      <w:r>
        <w:rPr>
          <w:color w:val="231F20"/>
          <w:spacing w:val="-30"/>
          <w:w w:val="110"/>
        </w:rPr>
        <w:t> </w:t>
      </w:r>
      <w:r>
        <w:rPr>
          <w:color w:val="231F20"/>
          <w:w w:val="110"/>
        </w:rPr>
        <w:t>on</w:t>
      </w:r>
      <w:r>
        <w:rPr>
          <w:color w:val="231F20"/>
          <w:spacing w:val="-31"/>
          <w:w w:val="110"/>
        </w:rPr>
        <w:t> </w:t>
      </w:r>
      <w:r>
        <w:rPr>
          <w:color w:val="231F20"/>
          <w:w w:val="110"/>
        </w:rPr>
        <w:t>behalf</w:t>
      </w:r>
      <w:r>
        <w:rPr>
          <w:color w:val="231F20"/>
          <w:spacing w:val="-21"/>
          <w:w w:val="110"/>
        </w:rPr>
        <w:t> </w:t>
      </w:r>
      <w:r>
        <w:rPr>
          <w:color w:val="231F20"/>
          <w:w w:val="110"/>
        </w:rPr>
        <w:t>the</w:t>
      </w:r>
      <w:r>
        <w:rPr>
          <w:color w:val="231F20"/>
          <w:spacing w:val="-31"/>
          <w:w w:val="110"/>
        </w:rPr>
        <w:t> </w:t>
      </w:r>
      <w:r>
        <w:rPr>
          <w:color w:val="231F20"/>
          <w:w w:val="110"/>
        </w:rPr>
        <w:t>Company</w:t>
      </w:r>
      <w:r>
        <w:rPr>
          <w:color w:val="231F20"/>
          <w:spacing w:val="-30"/>
          <w:w w:val="110"/>
        </w:rPr>
        <w:t> </w:t>
      </w:r>
      <w:r>
        <w:rPr>
          <w:color w:val="231F20"/>
          <w:w w:val="110"/>
        </w:rPr>
        <w:t>shall</w:t>
      </w:r>
      <w:r>
        <w:rPr>
          <w:color w:val="231F20"/>
          <w:spacing w:val="-31"/>
          <w:w w:val="110"/>
        </w:rPr>
        <w:t> </w:t>
      </w:r>
      <w:r>
        <w:rPr>
          <w:color w:val="231F20"/>
          <w:w w:val="110"/>
        </w:rPr>
        <w:t>receive</w:t>
      </w:r>
      <w:r>
        <w:rPr>
          <w:color w:val="231F20"/>
          <w:spacing w:val="-31"/>
          <w:w w:val="110"/>
        </w:rPr>
        <w:t> </w:t>
      </w:r>
      <w:r>
        <w:rPr>
          <w:color w:val="231F20"/>
          <w:w w:val="110"/>
        </w:rPr>
        <w:t>a</w:t>
      </w:r>
      <w:r>
        <w:rPr>
          <w:color w:val="231F20"/>
          <w:spacing w:val="-30"/>
          <w:w w:val="110"/>
        </w:rPr>
        <w:t> </w:t>
      </w:r>
      <w:r>
        <w:rPr>
          <w:color w:val="231F20"/>
          <w:w w:val="110"/>
        </w:rPr>
        <w:t>compensation in</w:t>
      </w:r>
      <w:r>
        <w:rPr>
          <w:color w:val="231F20"/>
          <w:spacing w:val="-25"/>
          <w:w w:val="110"/>
        </w:rPr>
        <w:t> </w:t>
      </w:r>
      <w:r>
        <w:rPr>
          <w:color w:val="231F20"/>
          <w:w w:val="110"/>
        </w:rPr>
        <w:t>recognition</w:t>
      </w:r>
      <w:r>
        <w:rPr>
          <w:color w:val="231F20"/>
          <w:spacing w:val="-24"/>
          <w:w w:val="110"/>
        </w:rPr>
        <w:t> </w:t>
      </w:r>
      <w:r>
        <w:rPr>
          <w:color w:val="231F20"/>
          <w:w w:val="110"/>
        </w:rPr>
        <w:t>of</w:t>
      </w:r>
      <w:r>
        <w:rPr>
          <w:color w:val="231F20"/>
          <w:spacing w:val="-13"/>
          <w:w w:val="110"/>
        </w:rPr>
        <w:t> </w:t>
      </w:r>
      <w:r>
        <w:rPr>
          <w:color w:val="231F20"/>
          <w:w w:val="110"/>
        </w:rPr>
        <w:t>such</w:t>
      </w:r>
      <w:r>
        <w:rPr>
          <w:color w:val="231F20"/>
          <w:spacing w:val="-24"/>
          <w:w w:val="110"/>
        </w:rPr>
        <w:t> </w:t>
      </w:r>
      <w:r>
        <w:rPr>
          <w:color w:val="231F20"/>
          <w:w w:val="110"/>
        </w:rPr>
        <w:t>increased</w:t>
      </w:r>
      <w:r>
        <w:rPr>
          <w:color w:val="231F20"/>
          <w:spacing w:val="-25"/>
          <w:w w:val="110"/>
        </w:rPr>
        <w:t> </w:t>
      </w:r>
      <w:r>
        <w:rPr>
          <w:color w:val="231F20"/>
          <w:w w:val="110"/>
        </w:rPr>
        <w:t>duties</w:t>
      </w:r>
      <w:r>
        <w:rPr>
          <w:color w:val="231F20"/>
          <w:spacing w:val="-24"/>
          <w:w w:val="110"/>
        </w:rPr>
        <w:t> </w:t>
      </w:r>
      <w:r>
        <w:rPr>
          <w:color w:val="231F20"/>
          <w:spacing w:val="-3"/>
          <w:w w:val="110"/>
        </w:rPr>
        <w:t>(i.e.</w:t>
      </w:r>
      <w:r>
        <w:rPr>
          <w:color w:val="231F20"/>
          <w:spacing w:val="-25"/>
          <w:w w:val="110"/>
        </w:rPr>
        <w:t> </w:t>
      </w:r>
      <w:r>
        <w:rPr>
          <w:color w:val="231F20"/>
          <w:w w:val="110"/>
        </w:rPr>
        <w:t>a</w:t>
      </w:r>
      <w:r>
        <w:rPr>
          <w:color w:val="231F20"/>
          <w:spacing w:val="-24"/>
          <w:w w:val="110"/>
        </w:rPr>
        <w:t> </w:t>
      </w:r>
      <w:r>
        <w:rPr>
          <w:color w:val="231F20"/>
          <w:w w:val="110"/>
        </w:rPr>
        <w:t>separate</w:t>
      </w:r>
      <w:r>
        <w:rPr>
          <w:color w:val="231F20"/>
          <w:spacing w:val="-24"/>
          <w:w w:val="110"/>
        </w:rPr>
        <w:t> </w:t>
      </w:r>
      <w:r>
        <w:rPr>
          <w:color w:val="231F20"/>
          <w:w w:val="110"/>
        </w:rPr>
        <w:t>compensation</w:t>
      </w:r>
      <w:r>
        <w:rPr>
          <w:color w:val="231F20"/>
          <w:spacing w:val="-25"/>
          <w:w w:val="110"/>
        </w:rPr>
        <w:t> </w:t>
      </w:r>
      <w:r>
        <w:rPr>
          <w:color w:val="231F20"/>
          <w:w w:val="110"/>
        </w:rPr>
        <w:t>in</w:t>
      </w:r>
      <w:r>
        <w:rPr>
          <w:color w:val="231F20"/>
          <w:spacing w:val="-24"/>
          <w:w w:val="110"/>
        </w:rPr>
        <w:t> </w:t>
      </w:r>
      <w:r>
        <w:rPr>
          <w:color w:val="231F20"/>
          <w:w w:val="110"/>
        </w:rPr>
        <w:t>lieu</w:t>
      </w:r>
      <w:r>
        <w:rPr>
          <w:color w:val="231F20"/>
          <w:spacing w:val="-25"/>
          <w:w w:val="110"/>
        </w:rPr>
        <w:t> </w:t>
      </w:r>
      <w:r>
        <w:rPr>
          <w:color w:val="231F20"/>
          <w:w w:val="110"/>
        </w:rPr>
        <w:t>of</w:t>
      </w:r>
      <w:r>
        <w:rPr>
          <w:color w:val="231F20"/>
          <w:spacing w:val="-12"/>
          <w:w w:val="110"/>
        </w:rPr>
        <w:t> </w:t>
      </w:r>
      <w:r>
        <w:rPr>
          <w:color w:val="231F20"/>
          <w:w w:val="110"/>
        </w:rPr>
        <w:t>the</w:t>
      </w:r>
      <w:r>
        <w:rPr>
          <w:color w:val="231F20"/>
          <w:spacing w:val="-25"/>
          <w:w w:val="110"/>
        </w:rPr>
        <w:t> </w:t>
      </w:r>
      <w:r>
        <w:rPr>
          <w:color w:val="231F20"/>
          <w:w w:val="110"/>
        </w:rPr>
        <w:t>remuneration</w:t>
      </w:r>
      <w:r>
        <w:rPr>
          <w:color w:val="231F20"/>
          <w:spacing w:val="-24"/>
          <w:w w:val="110"/>
        </w:rPr>
        <w:t> </w:t>
      </w:r>
      <w:r>
        <w:rPr>
          <w:color w:val="231F20"/>
          <w:w w:val="110"/>
        </w:rPr>
        <w:t>of the</w:t>
      </w:r>
      <w:r>
        <w:rPr>
          <w:color w:val="231F20"/>
          <w:spacing w:val="-21"/>
          <w:w w:val="110"/>
        </w:rPr>
        <w:t> </w:t>
      </w:r>
      <w:r>
        <w:rPr>
          <w:color w:val="231F20"/>
          <w:w w:val="110"/>
        </w:rPr>
        <w:t>Directors</w:t>
      </w:r>
      <w:r>
        <w:rPr>
          <w:color w:val="231F20"/>
          <w:spacing w:val="-21"/>
          <w:w w:val="110"/>
        </w:rPr>
        <w:t> </w:t>
      </w:r>
      <w:r>
        <w:rPr>
          <w:color w:val="231F20"/>
          <w:w w:val="110"/>
        </w:rPr>
        <w:t>are</w:t>
      </w:r>
      <w:r>
        <w:rPr>
          <w:color w:val="231F20"/>
          <w:spacing w:val="-21"/>
          <w:w w:val="110"/>
        </w:rPr>
        <w:t> </w:t>
      </w:r>
      <w:r>
        <w:rPr>
          <w:color w:val="231F20"/>
          <w:w w:val="110"/>
        </w:rPr>
        <w:t>entitled</w:t>
      </w:r>
      <w:r>
        <w:rPr>
          <w:color w:val="231F20"/>
          <w:spacing w:val="-21"/>
          <w:w w:val="110"/>
        </w:rPr>
        <w:t> </w:t>
      </w:r>
      <w:r>
        <w:rPr>
          <w:color w:val="231F20"/>
          <w:w w:val="110"/>
        </w:rPr>
        <w:t>to</w:t>
      </w:r>
      <w:r>
        <w:rPr>
          <w:color w:val="231F20"/>
          <w:spacing w:val="-20"/>
          <w:w w:val="110"/>
        </w:rPr>
        <w:t> </w:t>
      </w:r>
      <w:r>
        <w:rPr>
          <w:color w:val="231F20"/>
          <w:w w:val="110"/>
        </w:rPr>
        <w:t>in</w:t>
      </w:r>
      <w:r>
        <w:rPr>
          <w:color w:val="231F20"/>
          <w:spacing w:val="-21"/>
          <w:w w:val="110"/>
        </w:rPr>
        <w:t> </w:t>
      </w:r>
      <w:r>
        <w:rPr>
          <w:color w:val="231F20"/>
          <w:w w:val="110"/>
        </w:rPr>
        <w:t>accordance</w:t>
      </w:r>
      <w:r>
        <w:rPr>
          <w:color w:val="231F20"/>
          <w:spacing w:val="-21"/>
          <w:w w:val="110"/>
        </w:rPr>
        <w:t> </w:t>
      </w:r>
      <w:r>
        <w:rPr>
          <w:color w:val="231F20"/>
          <w:w w:val="110"/>
        </w:rPr>
        <w:t>with</w:t>
      </w:r>
      <w:r>
        <w:rPr>
          <w:color w:val="231F20"/>
          <w:spacing w:val="-21"/>
          <w:w w:val="110"/>
        </w:rPr>
        <w:t> </w:t>
      </w:r>
      <w:r>
        <w:rPr>
          <w:color w:val="231F20"/>
          <w:w w:val="110"/>
        </w:rPr>
        <w:t>the</w:t>
      </w:r>
      <w:r>
        <w:rPr>
          <w:color w:val="231F20"/>
          <w:spacing w:val="-20"/>
          <w:w w:val="110"/>
        </w:rPr>
        <w:t> </w:t>
      </w:r>
      <w:r>
        <w:rPr>
          <w:color w:val="231F20"/>
          <w:w w:val="110"/>
        </w:rPr>
        <w:t>Compensation</w:t>
      </w:r>
      <w:r>
        <w:rPr>
          <w:color w:val="231F20"/>
          <w:spacing w:val="-21"/>
          <w:w w:val="110"/>
        </w:rPr>
        <w:t> </w:t>
      </w:r>
      <w:r>
        <w:rPr>
          <w:color w:val="231F20"/>
          <w:w w:val="110"/>
        </w:rPr>
        <w:t>of</w:t>
      </w:r>
      <w:r>
        <w:rPr>
          <w:color w:val="231F20"/>
          <w:spacing w:val="-8"/>
          <w:w w:val="110"/>
        </w:rPr>
        <w:t> </w:t>
      </w:r>
      <w:r>
        <w:rPr>
          <w:color w:val="231F20"/>
          <w:w w:val="110"/>
        </w:rPr>
        <w:t>Directors</w:t>
      </w:r>
      <w:r>
        <w:rPr>
          <w:color w:val="231F20"/>
          <w:spacing w:val="-20"/>
          <w:w w:val="110"/>
        </w:rPr>
        <w:t> </w:t>
      </w:r>
      <w:r>
        <w:rPr>
          <w:color w:val="231F20"/>
          <w:w w:val="110"/>
        </w:rPr>
        <w:t>Regulations)</w:t>
      </w:r>
      <w:r>
        <w:rPr>
          <w:color w:val="231F20"/>
          <w:spacing w:val="-21"/>
          <w:w w:val="110"/>
        </w:rPr>
        <w:t> </w:t>
      </w:r>
      <w:r>
        <w:rPr>
          <w:color w:val="231F20"/>
          <w:w w:val="110"/>
        </w:rPr>
        <w:t>(the </w:t>
      </w:r>
      <w:r>
        <w:rPr>
          <w:color w:val="231F20"/>
          <w:w w:val="105"/>
        </w:rPr>
        <w:t>“</w:t>
      </w:r>
      <w:r>
        <w:rPr>
          <w:b/>
          <w:color w:val="231F20"/>
          <w:w w:val="105"/>
        </w:rPr>
        <w:t>Chairman’s</w:t>
      </w:r>
      <w:r>
        <w:rPr>
          <w:b/>
          <w:color w:val="231F20"/>
          <w:spacing w:val="-20"/>
          <w:w w:val="105"/>
        </w:rPr>
        <w:t> </w:t>
      </w:r>
      <w:r>
        <w:rPr>
          <w:b/>
          <w:color w:val="231F20"/>
          <w:w w:val="105"/>
        </w:rPr>
        <w:t>Fixed</w:t>
      </w:r>
      <w:r>
        <w:rPr>
          <w:b/>
          <w:color w:val="231F20"/>
          <w:spacing w:val="-19"/>
          <w:w w:val="105"/>
        </w:rPr>
        <w:t> </w:t>
      </w:r>
      <w:r>
        <w:rPr>
          <w:b/>
          <w:color w:val="231F20"/>
          <w:w w:val="105"/>
        </w:rPr>
        <w:t>Compensation</w:t>
      </w:r>
      <w:r>
        <w:rPr>
          <w:color w:val="231F20"/>
          <w:w w:val="105"/>
        </w:rPr>
        <w:t>”),</w:t>
      </w:r>
      <w:r>
        <w:rPr>
          <w:color w:val="231F20"/>
          <w:spacing w:val="-20"/>
          <w:w w:val="105"/>
        </w:rPr>
        <w:t> </w:t>
      </w:r>
      <w:r>
        <w:rPr>
          <w:color w:val="231F20"/>
          <w:w w:val="105"/>
        </w:rPr>
        <w:t>as</w:t>
      </w:r>
      <w:r>
        <w:rPr>
          <w:color w:val="231F20"/>
          <w:spacing w:val="-19"/>
          <w:w w:val="105"/>
        </w:rPr>
        <w:t> </w:t>
      </w:r>
      <w:r>
        <w:rPr>
          <w:color w:val="231F20"/>
          <w:w w:val="105"/>
        </w:rPr>
        <w:t>long</w:t>
      </w:r>
      <w:r>
        <w:rPr>
          <w:color w:val="231F20"/>
          <w:spacing w:val="-19"/>
          <w:w w:val="105"/>
        </w:rPr>
        <w:t> </w:t>
      </w:r>
      <w:r>
        <w:rPr>
          <w:color w:val="231F20"/>
          <w:w w:val="105"/>
        </w:rPr>
        <w:t>as</w:t>
      </w:r>
      <w:r>
        <w:rPr>
          <w:color w:val="231F20"/>
          <w:spacing w:val="-20"/>
          <w:w w:val="105"/>
        </w:rPr>
        <w:t> </w:t>
      </w:r>
      <w:r>
        <w:rPr>
          <w:color w:val="231F20"/>
          <w:w w:val="105"/>
        </w:rPr>
        <w:t>such</w:t>
      </w:r>
      <w:r>
        <w:rPr>
          <w:color w:val="231F20"/>
          <w:spacing w:val="-19"/>
          <w:w w:val="105"/>
        </w:rPr>
        <w:t> </w:t>
      </w:r>
      <w:r>
        <w:rPr>
          <w:color w:val="231F20"/>
          <w:w w:val="105"/>
        </w:rPr>
        <w:t>person</w:t>
      </w:r>
      <w:r>
        <w:rPr>
          <w:color w:val="231F20"/>
          <w:spacing w:val="-19"/>
          <w:w w:val="105"/>
        </w:rPr>
        <w:t> </w:t>
      </w:r>
      <w:r>
        <w:rPr>
          <w:color w:val="231F20"/>
          <w:w w:val="105"/>
        </w:rPr>
        <w:t>is</w:t>
      </w:r>
      <w:r>
        <w:rPr>
          <w:color w:val="231F20"/>
          <w:spacing w:val="-20"/>
          <w:w w:val="105"/>
        </w:rPr>
        <w:t> </w:t>
      </w:r>
      <w:r>
        <w:rPr>
          <w:color w:val="231F20"/>
          <w:w w:val="105"/>
        </w:rPr>
        <w:t>an</w:t>
      </w:r>
      <w:r>
        <w:rPr>
          <w:color w:val="231F20"/>
          <w:spacing w:val="-19"/>
          <w:w w:val="105"/>
        </w:rPr>
        <w:t> </w:t>
      </w:r>
      <w:r>
        <w:rPr>
          <w:color w:val="231F20"/>
          <w:w w:val="105"/>
        </w:rPr>
        <w:t>active</w:t>
      </w:r>
      <w:r>
        <w:rPr>
          <w:color w:val="231F20"/>
          <w:spacing w:val="-19"/>
          <w:w w:val="105"/>
        </w:rPr>
        <w:t> </w:t>
      </w:r>
      <w:r>
        <w:rPr>
          <w:color w:val="231F20"/>
          <w:w w:val="105"/>
        </w:rPr>
        <w:t>chairman</w:t>
      </w:r>
      <w:r>
        <w:rPr>
          <w:color w:val="231F20"/>
          <w:spacing w:val="-20"/>
          <w:w w:val="105"/>
        </w:rPr>
        <w:t> </w:t>
      </w:r>
      <w:r>
        <w:rPr>
          <w:color w:val="231F20"/>
          <w:w w:val="105"/>
        </w:rPr>
        <w:t>and</w:t>
      </w:r>
      <w:r>
        <w:rPr>
          <w:color w:val="231F20"/>
          <w:spacing w:val="-19"/>
          <w:w w:val="105"/>
        </w:rPr>
        <w:t> </w:t>
      </w:r>
      <w:r>
        <w:rPr>
          <w:color w:val="231F20"/>
          <w:w w:val="105"/>
        </w:rPr>
        <w:t>provided</w:t>
      </w:r>
      <w:r>
        <w:rPr>
          <w:color w:val="231F20"/>
          <w:spacing w:val="-19"/>
          <w:w w:val="105"/>
        </w:rPr>
        <w:t> </w:t>
      </w:r>
      <w:r>
        <w:rPr>
          <w:color w:val="231F20"/>
          <w:w w:val="105"/>
        </w:rPr>
        <w:t>that </w:t>
      </w:r>
      <w:r>
        <w:rPr>
          <w:color w:val="231F20"/>
          <w:w w:val="110"/>
        </w:rPr>
        <w:t>the </w:t>
      </w:r>
      <w:r>
        <w:rPr>
          <w:color w:val="231F20"/>
          <w:spacing w:val="-3"/>
          <w:w w:val="110"/>
        </w:rPr>
        <w:t>Chairman’s </w:t>
      </w:r>
      <w:r>
        <w:rPr>
          <w:color w:val="231F20"/>
          <w:w w:val="110"/>
        </w:rPr>
        <w:t>Fixed Compensation shall not exceed the sum of NIS 780,000 per annum </w:t>
      </w:r>
      <w:r>
        <w:rPr>
          <w:color w:val="231F20"/>
          <w:spacing w:val="-3"/>
          <w:w w:val="110"/>
        </w:rPr>
        <w:t>(employer’s</w:t>
      </w:r>
      <w:r>
        <w:rPr>
          <w:color w:val="231F20"/>
          <w:spacing w:val="-22"/>
          <w:w w:val="110"/>
        </w:rPr>
        <w:t> </w:t>
      </w:r>
      <w:r>
        <w:rPr>
          <w:color w:val="231F20"/>
          <w:w w:val="110"/>
        </w:rPr>
        <w:t>cost).</w:t>
      </w:r>
      <w:r>
        <w:rPr>
          <w:color w:val="231F20"/>
          <w:spacing w:val="-22"/>
          <w:w w:val="110"/>
        </w:rPr>
        <w:t> </w:t>
      </w:r>
      <w:r>
        <w:rPr>
          <w:color w:val="231F20"/>
          <w:w w:val="110"/>
        </w:rPr>
        <w:t>The</w:t>
      </w:r>
      <w:r>
        <w:rPr>
          <w:color w:val="231F20"/>
          <w:spacing w:val="-22"/>
          <w:w w:val="110"/>
        </w:rPr>
        <w:t> </w:t>
      </w:r>
      <w:r>
        <w:rPr>
          <w:color w:val="231F20"/>
          <w:spacing w:val="-3"/>
          <w:w w:val="110"/>
        </w:rPr>
        <w:t>Chairman’s</w:t>
      </w:r>
      <w:r>
        <w:rPr>
          <w:color w:val="231F20"/>
          <w:spacing w:val="-21"/>
          <w:w w:val="110"/>
        </w:rPr>
        <w:t> </w:t>
      </w:r>
      <w:r>
        <w:rPr>
          <w:color w:val="231F20"/>
          <w:w w:val="110"/>
        </w:rPr>
        <w:t>Fixed</w:t>
      </w:r>
      <w:r>
        <w:rPr>
          <w:color w:val="231F20"/>
          <w:spacing w:val="-22"/>
          <w:w w:val="110"/>
        </w:rPr>
        <w:t> </w:t>
      </w:r>
      <w:r>
        <w:rPr>
          <w:color w:val="231F20"/>
          <w:w w:val="110"/>
        </w:rPr>
        <w:t>Compensation</w:t>
      </w:r>
      <w:r>
        <w:rPr>
          <w:color w:val="231F20"/>
          <w:spacing w:val="-22"/>
          <w:w w:val="110"/>
        </w:rPr>
        <w:t> </w:t>
      </w:r>
      <w:r>
        <w:rPr>
          <w:color w:val="231F20"/>
          <w:w w:val="110"/>
        </w:rPr>
        <w:t>will</w:t>
      </w:r>
      <w:r>
        <w:rPr>
          <w:color w:val="231F20"/>
          <w:spacing w:val="-21"/>
          <w:w w:val="110"/>
        </w:rPr>
        <w:t> </w:t>
      </w:r>
      <w:r>
        <w:rPr>
          <w:color w:val="231F20"/>
          <w:w w:val="110"/>
        </w:rPr>
        <w:t>be</w:t>
      </w:r>
      <w:r>
        <w:rPr>
          <w:color w:val="231F20"/>
          <w:spacing w:val="-22"/>
          <w:w w:val="110"/>
        </w:rPr>
        <w:t> </w:t>
      </w:r>
      <w:r>
        <w:rPr>
          <w:color w:val="231F20"/>
          <w:w w:val="110"/>
        </w:rPr>
        <w:t>paid</w:t>
      </w:r>
      <w:r>
        <w:rPr>
          <w:color w:val="231F20"/>
          <w:spacing w:val="-22"/>
          <w:w w:val="110"/>
        </w:rPr>
        <w:t> </w:t>
      </w:r>
      <w:r>
        <w:rPr>
          <w:color w:val="231F20"/>
          <w:w w:val="110"/>
        </w:rPr>
        <w:t>to</w:t>
      </w:r>
      <w:r>
        <w:rPr>
          <w:color w:val="231F20"/>
          <w:spacing w:val="-22"/>
          <w:w w:val="110"/>
        </w:rPr>
        <w:t> </w:t>
      </w:r>
      <w:r>
        <w:rPr>
          <w:color w:val="231F20"/>
          <w:w w:val="110"/>
        </w:rPr>
        <w:t>the</w:t>
      </w:r>
      <w:r>
        <w:rPr>
          <w:color w:val="231F20"/>
          <w:spacing w:val="-21"/>
          <w:w w:val="110"/>
        </w:rPr>
        <w:t> </w:t>
      </w:r>
      <w:r>
        <w:rPr>
          <w:color w:val="231F20"/>
          <w:w w:val="110"/>
        </w:rPr>
        <w:t>Chairman</w:t>
      </w:r>
      <w:r>
        <w:rPr>
          <w:color w:val="231F20"/>
          <w:spacing w:val="-22"/>
          <w:w w:val="110"/>
        </w:rPr>
        <w:t> </w:t>
      </w:r>
      <w:r>
        <w:rPr>
          <w:color w:val="231F20"/>
          <w:w w:val="110"/>
        </w:rPr>
        <w:t>either</w:t>
      </w:r>
      <w:r>
        <w:rPr>
          <w:color w:val="231F20"/>
          <w:spacing w:val="-22"/>
          <w:w w:val="110"/>
        </w:rPr>
        <w:t> </w:t>
      </w:r>
      <w:r>
        <w:rPr>
          <w:color w:val="231F20"/>
          <w:w w:val="110"/>
        </w:rPr>
        <w:t>as</w:t>
      </w:r>
      <w:r>
        <w:rPr>
          <w:color w:val="231F20"/>
          <w:spacing w:val="-21"/>
          <w:w w:val="110"/>
        </w:rPr>
        <w:t> </w:t>
      </w:r>
      <w:r>
        <w:rPr>
          <w:color w:val="231F20"/>
          <w:w w:val="110"/>
        </w:rPr>
        <w:t>an employee</w:t>
      </w:r>
      <w:r>
        <w:rPr>
          <w:color w:val="231F20"/>
          <w:spacing w:val="-26"/>
          <w:w w:val="110"/>
        </w:rPr>
        <w:t> </w:t>
      </w:r>
      <w:r>
        <w:rPr>
          <w:color w:val="231F20"/>
          <w:w w:val="110"/>
        </w:rPr>
        <w:t>of</w:t>
      </w:r>
      <w:r>
        <w:rPr>
          <w:color w:val="231F20"/>
          <w:spacing w:val="-13"/>
          <w:w w:val="110"/>
        </w:rPr>
        <w:t> </w:t>
      </w:r>
      <w:r>
        <w:rPr>
          <w:color w:val="231F20"/>
          <w:w w:val="110"/>
        </w:rPr>
        <w:t>the</w:t>
      </w:r>
      <w:r>
        <w:rPr>
          <w:color w:val="231F20"/>
          <w:spacing w:val="-26"/>
          <w:w w:val="110"/>
        </w:rPr>
        <w:t> </w:t>
      </w:r>
      <w:r>
        <w:rPr>
          <w:color w:val="231F20"/>
          <w:w w:val="110"/>
        </w:rPr>
        <w:t>Company</w:t>
      </w:r>
      <w:r>
        <w:rPr>
          <w:color w:val="231F20"/>
          <w:spacing w:val="-25"/>
          <w:w w:val="110"/>
        </w:rPr>
        <w:t> </w:t>
      </w:r>
      <w:r>
        <w:rPr>
          <w:color w:val="231F20"/>
          <w:w w:val="110"/>
        </w:rPr>
        <w:t>or</w:t>
      </w:r>
      <w:r>
        <w:rPr>
          <w:color w:val="231F20"/>
          <w:spacing w:val="-25"/>
          <w:w w:val="110"/>
        </w:rPr>
        <w:t> </w:t>
      </w:r>
      <w:r>
        <w:rPr>
          <w:color w:val="231F20"/>
          <w:w w:val="110"/>
        </w:rPr>
        <w:t>against</w:t>
      </w:r>
      <w:r>
        <w:rPr>
          <w:color w:val="231F20"/>
          <w:spacing w:val="-26"/>
          <w:w w:val="110"/>
        </w:rPr>
        <w:t> </w:t>
      </w:r>
      <w:r>
        <w:rPr>
          <w:color w:val="231F20"/>
          <w:w w:val="110"/>
        </w:rPr>
        <w:t>an</w:t>
      </w:r>
      <w:r>
        <w:rPr>
          <w:color w:val="231F20"/>
          <w:spacing w:val="-25"/>
          <w:w w:val="110"/>
        </w:rPr>
        <w:t> </w:t>
      </w:r>
      <w:r>
        <w:rPr>
          <w:color w:val="231F20"/>
          <w:spacing w:val="-3"/>
          <w:w w:val="110"/>
        </w:rPr>
        <w:t>invoice,</w:t>
      </w:r>
      <w:r>
        <w:rPr>
          <w:color w:val="231F20"/>
          <w:spacing w:val="-26"/>
          <w:w w:val="110"/>
        </w:rPr>
        <w:t> </w:t>
      </w:r>
      <w:r>
        <w:rPr>
          <w:color w:val="231F20"/>
          <w:spacing w:val="-3"/>
          <w:w w:val="110"/>
        </w:rPr>
        <w:t>at</w:t>
      </w:r>
      <w:r>
        <w:rPr>
          <w:color w:val="231F20"/>
          <w:spacing w:val="-25"/>
          <w:w w:val="110"/>
        </w:rPr>
        <w:t> </w:t>
      </w:r>
      <w:r>
        <w:rPr>
          <w:color w:val="231F20"/>
          <w:w w:val="110"/>
        </w:rPr>
        <w:t>the</w:t>
      </w:r>
      <w:r>
        <w:rPr>
          <w:color w:val="231F20"/>
          <w:spacing w:val="-26"/>
          <w:w w:val="110"/>
        </w:rPr>
        <w:t> </w:t>
      </w:r>
      <w:r>
        <w:rPr>
          <w:color w:val="231F20"/>
          <w:spacing w:val="-3"/>
          <w:w w:val="110"/>
        </w:rPr>
        <w:t>Chairman’s</w:t>
      </w:r>
      <w:r>
        <w:rPr>
          <w:color w:val="231F20"/>
          <w:spacing w:val="-25"/>
          <w:w w:val="110"/>
        </w:rPr>
        <w:t> </w:t>
      </w:r>
      <w:r>
        <w:rPr>
          <w:color w:val="231F20"/>
          <w:w w:val="110"/>
        </w:rPr>
        <w:t>sole</w:t>
      </w:r>
      <w:r>
        <w:rPr>
          <w:color w:val="231F20"/>
          <w:spacing w:val="-26"/>
          <w:w w:val="110"/>
        </w:rPr>
        <w:t> </w:t>
      </w:r>
      <w:r>
        <w:rPr>
          <w:color w:val="231F20"/>
          <w:w w:val="110"/>
        </w:rPr>
        <w:t>discretion.</w:t>
      </w:r>
      <w:r>
        <w:rPr>
          <w:color w:val="231F20"/>
          <w:spacing w:val="-25"/>
          <w:w w:val="110"/>
        </w:rPr>
        <w:t> </w:t>
      </w:r>
      <w:r>
        <w:rPr>
          <w:color w:val="231F20"/>
          <w:w w:val="110"/>
        </w:rPr>
        <w:t>In</w:t>
      </w:r>
      <w:r>
        <w:rPr>
          <w:color w:val="231F20"/>
          <w:spacing w:val="-25"/>
          <w:w w:val="110"/>
        </w:rPr>
        <w:t> </w:t>
      </w:r>
      <w:r>
        <w:rPr>
          <w:color w:val="231F20"/>
          <w:w w:val="110"/>
        </w:rPr>
        <w:t>the</w:t>
      </w:r>
      <w:r>
        <w:rPr>
          <w:color w:val="231F20"/>
          <w:spacing w:val="-26"/>
          <w:w w:val="110"/>
        </w:rPr>
        <w:t> </w:t>
      </w:r>
      <w:r>
        <w:rPr>
          <w:color w:val="231F20"/>
          <w:w w:val="110"/>
        </w:rPr>
        <w:t>event</w:t>
      </w:r>
      <w:r>
        <w:rPr>
          <w:color w:val="231F20"/>
          <w:spacing w:val="-25"/>
          <w:w w:val="110"/>
        </w:rPr>
        <w:t> </w:t>
      </w:r>
      <w:r>
        <w:rPr>
          <w:color w:val="231F20"/>
          <w:w w:val="110"/>
        </w:rPr>
        <w:t>that there is more than one chairman, the compensation limitation of the </w:t>
      </w:r>
      <w:r>
        <w:rPr>
          <w:color w:val="231F20"/>
          <w:spacing w:val="-3"/>
          <w:w w:val="110"/>
        </w:rPr>
        <w:t>Chairman’s </w:t>
      </w:r>
      <w:r>
        <w:rPr>
          <w:color w:val="231F20"/>
          <w:w w:val="110"/>
        </w:rPr>
        <w:t>Fixed Compensation</w:t>
      </w:r>
      <w:r>
        <w:rPr>
          <w:color w:val="231F20"/>
          <w:spacing w:val="-10"/>
          <w:w w:val="110"/>
        </w:rPr>
        <w:t> </w:t>
      </w:r>
      <w:r>
        <w:rPr>
          <w:color w:val="231F20"/>
          <w:w w:val="110"/>
        </w:rPr>
        <w:t>set</w:t>
      </w:r>
      <w:r>
        <w:rPr>
          <w:color w:val="231F20"/>
          <w:spacing w:val="-9"/>
          <w:w w:val="110"/>
        </w:rPr>
        <w:t> </w:t>
      </w:r>
      <w:r>
        <w:rPr>
          <w:color w:val="231F20"/>
          <w:w w:val="110"/>
        </w:rPr>
        <w:t>forth</w:t>
      </w:r>
      <w:r>
        <w:rPr>
          <w:color w:val="231F20"/>
          <w:spacing w:val="-9"/>
          <w:w w:val="110"/>
        </w:rPr>
        <w:t> </w:t>
      </w:r>
      <w:r>
        <w:rPr>
          <w:color w:val="231F20"/>
          <w:spacing w:val="-5"/>
          <w:w w:val="110"/>
        </w:rPr>
        <w:t>above,</w:t>
      </w:r>
      <w:r>
        <w:rPr>
          <w:color w:val="231F20"/>
          <w:spacing w:val="-9"/>
          <w:w w:val="110"/>
        </w:rPr>
        <w:t> </w:t>
      </w:r>
      <w:r>
        <w:rPr>
          <w:color w:val="231F20"/>
          <w:w w:val="110"/>
        </w:rPr>
        <w:t>shall</w:t>
      </w:r>
      <w:r>
        <w:rPr>
          <w:color w:val="231F20"/>
          <w:spacing w:val="-9"/>
          <w:w w:val="110"/>
        </w:rPr>
        <w:t> </w:t>
      </w:r>
      <w:r>
        <w:rPr>
          <w:color w:val="231F20"/>
          <w:w w:val="110"/>
        </w:rPr>
        <w:t>apply</w:t>
      </w:r>
      <w:r>
        <w:rPr>
          <w:color w:val="231F20"/>
          <w:spacing w:val="-9"/>
          <w:w w:val="110"/>
        </w:rPr>
        <w:t> </w:t>
      </w:r>
      <w:r>
        <w:rPr>
          <w:color w:val="231F20"/>
          <w:w w:val="110"/>
        </w:rPr>
        <w:t>to</w:t>
      </w:r>
      <w:r>
        <w:rPr>
          <w:color w:val="231F20"/>
          <w:spacing w:val="-10"/>
          <w:w w:val="110"/>
        </w:rPr>
        <w:t> </w:t>
      </w:r>
      <w:r>
        <w:rPr>
          <w:color w:val="231F20"/>
          <w:w w:val="110"/>
        </w:rPr>
        <w:t>each</w:t>
      </w:r>
      <w:r>
        <w:rPr>
          <w:color w:val="231F20"/>
          <w:spacing w:val="-9"/>
          <w:w w:val="110"/>
        </w:rPr>
        <w:t> </w:t>
      </w:r>
      <w:r>
        <w:rPr>
          <w:color w:val="231F20"/>
          <w:w w:val="110"/>
        </w:rPr>
        <w:t>chairman</w:t>
      </w:r>
      <w:r>
        <w:rPr>
          <w:color w:val="231F20"/>
          <w:spacing w:val="-9"/>
          <w:w w:val="110"/>
        </w:rPr>
        <w:t> </w:t>
      </w:r>
      <w:r>
        <w:rPr>
          <w:color w:val="231F20"/>
          <w:spacing w:val="-4"/>
          <w:w w:val="110"/>
        </w:rPr>
        <w:t>separately.</w:t>
      </w:r>
    </w:p>
    <w:p>
      <w:pPr>
        <w:pStyle w:val="BodyText"/>
        <w:spacing w:line="244" w:lineRule="auto" w:before="149"/>
        <w:ind w:left="1888" w:right="1386"/>
      </w:pPr>
      <w:r>
        <w:rPr>
          <w:color w:val="231F20"/>
          <w:w w:val="105"/>
        </w:rPr>
        <w:t>The Chairman </w:t>
      </w:r>
      <w:r>
        <w:rPr>
          <w:color w:val="231F20"/>
          <w:spacing w:val="-3"/>
          <w:w w:val="105"/>
        </w:rPr>
        <w:t>may </w:t>
      </w:r>
      <w:r>
        <w:rPr>
          <w:color w:val="231F20"/>
          <w:w w:val="105"/>
        </w:rPr>
        <w:t>receive a transaction bonus due to a significant or strategic transaction  initiated by the Chairman, or significant or strategic transaction that the Chairman was </w:t>
      </w:r>
      <w:r>
        <w:rPr>
          <w:color w:val="231F20"/>
          <w:spacing w:val="-3"/>
          <w:w w:val="105"/>
        </w:rPr>
        <w:t>involved  </w:t>
      </w:r>
      <w:r>
        <w:rPr>
          <w:color w:val="231F20"/>
          <w:w w:val="105"/>
        </w:rPr>
        <w:t>in,</w:t>
      </w:r>
      <w:r>
        <w:rPr>
          <w:color w:val="231F20"/>
          <w:spacing w:val="-5"/>
          <w:w w:val="105"/>
        </w:rPr>
        <w:t> </w:t>
      </w:r>
      <w:r>
        <w:rPr>
          <w:color w:val="231F20"/>
          <w:w w:val="105"/>
        </w:rPr>
        <w:t>in</w:t>
      </w:r>
      <w:r>
        <w:rPr>
          <w:color w:val="231F20"/>
          <w:spacing w:val="-5"/>
          <w:w w:val="105"/>
        </w:rPr>
        <w:t> </w:t>
      </w:r>
      <w:r>
        <w:rPr>
          <w:color w:val="231F20"/>
          <w:w w:val="105"/>
        </w:rPr>
        <w:t>an</w:t>
      </w:r>
      <w:r>
        <w:rPr>
          <w:color w:val="231F20"/>
          <w:spacing w:val="-5"/>
          <w:w w:val="105"/>
        </w:rPr>
        <w:t> </w:t>
      </w:r>
      <w:r>
        <w:rPr>
          <w:color w:val="231F20"/>
          <w:w w:val="105"/>
        </w:rPr>
        <w:t>amount</w:t>
      </w:r>
      <w:r>
        <w:rPr>
          <w:color w:val="231F20"/>
          <w:spacing w:val="-5"/>
          <w:w w:val="105"/>
        </w:rPr>
        <w:t> </w:t>
      </w:r>
      <w:r>
        <w:rPr>
          <w:color w:val="231F20"/>
          <w:w w:val="105"/>
        </w:rPr>
        <w:t>equal</w:t>
      </w:r>
      <w:r>
        <w:rPr>
          <w:color w:val="231F20"/>
          <w:spacing w:val="-5"/>
          <w:w w:val="105"/>
        </w:rPr>
        <w:t> </w:t>
      </w:r>
      <w:r>
        <w:rPr>
          <w:color w:val="231F20"/>
          <w:w w:val="105"/>
        </w:rPr>
        <w:t>to</w:t>
      </w:r>
      <w:r>
        <w:rPr>
          <w:color w:val="231F20"/>
          <w:spacing w:val="-5"/>
          <w:w w:val="105"/>
        </w:rPr>
        <w:t> </w:t>
      </w:r>
      <w:r>
        <w:rPr>
          <w:color w:val="231F20"/>
          <w:w w:val="105"/>
        </w:rPr>
        <w:t>twice</w:t>
      </w:r>
      <w:r>
        <w:rPr>
          <w:color w:val="231F20"/>
          <w:spacing w:val="-5"/>
          <w:w w:val="105"/>
        </w:rPr>
        <w:t> </w:t>
      </w:r>
      <w:r>
        <w:rPr>
          <w:color w:val="231F20"/>
          <w:w w:val="105"/>
        </w:rPr>
        <w:t>of</w:t>
      </w:r>
      <w:r>
        <w:rPr>
          <w:color w:val="231F20"/>
          <w:spacing w:val="16"/>
          <w:w w:val="105"/>
        </w:rPr>
        <w:t> </w:t>
      </w:r>
      <w:r>
        <w:rPr>
          <w:color w:val="231F20"/>
          <w:w w:val="105"/>
        </w:rPr>
        <w:t>the</w:t>
      </w:r>
      <w:r>
        <w:rPr>
          <w:color w:val="231F20"/>
          <w:spacing w:val="-5"/>
          <w:w w:val="105"/>
        </w:rPr>
        <w:t> </w:t>
      </w:r>
      <w:r>
        <w:rPr>
          <w:color w:val="231F20"/>
          <w:spacing w:val="-3"/>
          <w:w w:val="105"/>
        </w:rPr>
        <w:t>chairman’s</w:t>
      </w:r>
      <w:r>
        <w:rPr>
          <w:color w:val="231F20"/>
          <w:spacing w:val="-4"/>
          <w:w w:val="105"/>
        </w:rPr>
        <w:t> </w:t>
      </w:r>
      <w:r>
        <w:rPr>
          <w:color w:val="231F20"/>
          <w:w w:val="105"/>
        </w:rPr>
        <w:t>monthly</w:t>
      </w:r>
      <w:r>
        <w:rPr>
          <w:color w:val="231F20"/>
          <w:spacing w:val="-5"/>
          <w:w w:val="105"/>
        </w:rPr>
        <w:t> </w:t>
      </w:r>
      <w:r>
        <w:rPr>
          <w:color w:val="231F20"/>
          <w:w w:val="105"/>
        </w:rPr>
        <w:t>fixed</w:t>
      </w:r>
      <w:r>
        <w:rPr>
          <w:color w:val="231F20"/>
          <w:spacing w:val="-5"/>
          <w:w w:val="105"/>
        </w:rPr>
        <w:t> </w:t>
      </w:r>
      <w:r>
        <w:rPr>
          <w:color w:val="231F20"/>
          <w:w w:val="105"/>
        </w:rPr>
        <w:t>compensation.</w:t>
      </w:r>
      <w:r>
        <w:rPr>
          <w:color w:val="231F20"/>
          <w:spacing w:val="-5"/>
          <w:w w:val="105"/>
        </w:rPr>
        <w:t> </w:t>
      </w:r>
      <w:r>
        <w:rPr>
          <w:color w:val="231F20"/>
          <w:w w:val="105"/>
        </w:rPr>
        <w:t>In</w:t>
      </w:r>
      <w:r>
        <w:rPr>
          <w:color w:val="231F20"/>
          <w:spacing w:val="-5"/>
          <w:w w:val="105"/>
        </w:rPr>
        <w:t> </w:t>
      </w:r>
      <w:r>
        <w:rPr>
          <w:color w:val="231F20"/>
          <w:w w:val="105"/>
        </w:rPr>
        <w:t>no</w:t>
      </w:r>
      <w:r>
        <w:rPr>
          <w:color w:val="231F20"/>
          <w:spacing w:val="-5"/>
          <w:w w:val="105"/>
        </w:rPr>
        <w:t> </w:t>
      </w:r>
      <w:r>
        <w:rPr>
          <w:color w:val="231F20"/>
          <w:w w:val="105"/>
        </w:rPr>
        <w:t>event</w:t>
      </w:r>
      <w:r>
        <w:rPr>
          <w:color w:val="231F20"/>
          <w:spacing w:val="-5"/>
          <w:w w:val="105"/>
        </w:rPr>
        <w:t> </w:t>
      </w:r>
      <w:r>
        <w:rPr>
          <w:color w:val="231F20"/>
          <w:w w:val="105"/>
        </w:rPr>
        <w:t>shall</w:t>
      </w:r>
      <w:r>
        <w:rPr>
          <w:color w:val="231F20"/>
          <w:spacing w:val="-5"/>
          <w:w w:val="105"/>
        </w:rPr>
        <w:t> </w:t>
      </w:r>
      <w:r>
        <w:rPr>
          <w:color w:val="231F20"/>
          <w:w w:val="105"/>
        </w:rPr>
        <w:t>the transaction bonuses exceed in </w:t>
      </w:r>
      <w:r>
        <w:rPr>
          <w:color w:val="231F20"/>
          <w:spacing w:val="-3"/>
          <w:w w:val="105"/>
        </w:rPr>
        <w:t>any </w:t>
      </w:r>
      <w:r>
        <w:rPr>
          <w:color w:val="231F20"/>
          <w:w w:val="105"/>
        </w:rPr>
        <w:t>given calendar year the sum equal to 8 times the </w:t>
      </w:r>
      <w:r>
        <w:rPr>
          <w:color w:val="231F20"/>
          <w:spacing w:val="-3"/>
          <w:w w:val="105"/>
        </w:rPr>
        <w:t>Chairman’s </w:t>
      </w:r>
      <w:r>
        <w:rPr>
          <w:color w:val="231F20"/>
          <w:w w:val="105"/>
        </w:rPr>
        <w:t>monthly fixed</w:t>
      </w:r>
      <w:r>
        <w:rPr>
          <w:color w:val="231F20"/>
          <w:spacing w:val="-7"/>
          <w:w w:val="105"/>
        </w:rPr>
        <w:t> </w:t>
      </w:r>
      <w:r>
        <w:rPr>
          <w:color w:val="231F20"/>
          <w:w w:val="105"/>
        </w:rPr>
        <w:t>compensation.</w:t>
      </w:r>
    </w:p>
    <w:p>
      <w:pPr>
        <w:pStyle w:val="BodyText"/>
        <w:spacing w:line="244" w:lineRule="auto" w:before="154"/>
        <w:ind w:left="1888" w:right="1490"/>
      </w:pPr>
      <w:r>
        <w:rPr>
          <w:color w:val="231F20"/>
          <w:w w:val="105"/>
        </w:rPr>
        <w:t>In addition, the Chairman </w:t>
      </w:r>
      <w:r>
        <w:rPr>
          <w:color w:val="231F20"/>
          <w:spacing w:val="-3"/>
          <w:w w:val="105"/>
        </w:rPr>
        <w:t>may </w:t>
      </w:r>
      <w:r>
        <w:rPr>
          <w:color w:val="231F20"/>
          <w:w w:val="105"/>
        </w:rPr>
        <w:t>receive a special bonus due to a Full Exit Event in an amount up   to 2.5% of the consideration paid in such an event. </w:t>
      </w:r>
      <w:r>
        <w:rPr>
          <w:color w:val="231F20"/>
          <w:spacing w:val="-6"/>
          <w:w w:val="105"/>
        </w:rPr>
        <w:t>For </w:t>
      </w:r>
      <w:r>
        <w:rPr>
          <w:color w:val="231F20"/>
          <w:w w:val="105"/>
        </w:rPr>
        <w:t>purposes of this paragraph, a “Full Exit Event” means: a </w:t>
      </w:r>
      <w:r>
        <w:rPr>
          <w:color w:val="231F20"/>
          <w:spacing w:val="-3"/>
          <w:w w:val="105"/>
        </w:rPr>
        <w:t>sale </w:t>
      </w:r>
      <w:r>
        <w:rPr>
          <w:color w:val="231F20"/>
          <w:w w:val="105"/>
        </w:rPr>
        <w:t>of </w:t>
      </w:r>
      <w:r>
        <w:rPr>
          <w:color w:val="231F20"/>
          <w:spacing w:val="-3"/>
          <w:w w:val="105"/>
        </w:rPr>
        <w:t>all </w:t>
      </w:r>
      <w:r>
        <w:rPr>
          <w:color w:val="231F20"/>
          <w:w w:val="105"/>
        </w:rPr>
        <w:t>the </w:t>
      </w:r>
      <w:r>
        <w:rPr>
          <w:color w:val="231F20"/>
          <w:spacing w:val="-3"/>
          <w:w w:val="105"/>
        </w:rPr>
        <w:t>Company’s </w:t>
      </w:r>
      <w:r>
        <w:rPr>
          <w:color w:val="231F20"/>
          <w:w w:val="105"/>
        </w:rPr>
        <w:t>shares or a full merger of the company into another entity in consideration of shares and/or cash in the other entity (instead of the </w:t>
      </w:r>
      <w:r>
        <w:rPr>
          <w:color w:val="231F20"/>
          <w:spacing w:val="-3"/>
          <w:w w:val="105"/>
        </w:rPr>
        <w:t>Company’s </w:t>
      </w:r>
      <w:r>
        <w:rPr>
          <w:color w:val="231F20"/>
          <w:w w:val="105"/>
        </w:rPr>
        <w:t>shares), or a </w:t>
      </w:r>
      <w:r>
        <w:rPr>
          <w:color w:val="231F20"/>
          <w:spacing w:val="-3"/>
          <w:w w:val="105"/>
        </w:rPr>
        <w:t>sale </w:t>
      </w:r>
      <w:r>
        <w:rPr>
          <w:color w:val="231F20"/>
          <w:w w:val="105"/>
        </w:rPr>
        <w:t>of </w:t>
      </w:r>
      <w:r>
        <w:rPr>
          <w:color w:val="231F20"/>
          <w:spacing w:val="-3"/>
          <w:w w:val="105"/>
        </w:rPr>
        <w:t>all </w:t>
      </w:r>
      <w:r>
        <w:rPr>
          <w:color w:val="231F20"/>
          <w:w w:val="105"/>
        </w:rPr>
        <w:t>or substantially </w:t>
      </w:r>
      <w:r>
        <w:rPr>
          <w:color w:val="231F20"/>
          <w:spacing w:val="-3"/>
          <w:w w:val="105"/>
        </w:rPr>
        <w:t>all </w:t>
      </w:r>
      <w:r>
        <w:rPr>
          <w:color w:val="231F20"/>
          <w:w w:val="105"/>
        </w:rPr>
        <w:t>the </w:t>
      </w:r>
      <w:r>
        <w:rPr>
          <w:color w:val="231F20"/>
          <w:spacing w:val="-3"/>
          <w:w w:val="105"/>
        </w:rPr>
        <w:t>Company’s</w:t>
      </w:r>
      <w:r>
        <w:rPr>
          <w:color w:val="231F20"/>
          <w:spacing w:val="-5"/>
          <w:w w:val="105"/>
        </w:rPr>
        <w:t> </w:t>
      </w:r>
      <w:r>
        <w:rPr>
          <w:color w:val="231F20"/>
          <w:w w:val="105"/>
        </w:rPr>
        <w:t>assets.</w:t>
      </w:r>
    </w:p>
    <w:p>
      <w:pPr>
        <w:pStyle w:val="BodyText"/>
        <w:spacing w:line="244" w:lineRule="auto" w:before="155"/>
        <w:ind w:left="1888" w:right="1378"/>
      </w:pPr>
      <w:r>
        <w:rPr>
          <w:color w:val="231F20"/>
          <w:w w:val="110"/>
        </w:rPr>
        <w:t>Notwithstanding the Compensation of Directors </w:t>
      </w:r>
      <w:r>
        <w:rPr>
          <w:color w:val="231F20"/>
          <w:spacing w:val="-3"/>
          <w:w w:val="110"/>
        </w:rPr>
        <w:t>Regulations, </w:t>
      </w:r>
      <w:r>
        <w:rPr>
          <w:color w:val="231F20"/>
          <w:w w:val="110"/>
        </w:rPr>
        <w:t>the Company shall be entitled to </w:t>
      </w:r>
      <w:r>
        <w:rPr>
          <w:color w:val="231F20"/>
          <w:spacing w:val="-3"/>
          <w:w w:val="110"/>
        </w:rPr>
        <w:t>pay</w:t>
      </w:r>
      <w:r>
        <w:rPr>
          <w:color w:val="231F20"/>
          <w:spacing w:val="-23"/>
          <w:w w:val="110"/>
        </w:rPr>
        <w:t> </w:t>
      </w:r>
      <w:r>
        <w:rPr>
          <w:color w:val="231F20"/>
          <w:w w:val="110"/>
        </w:rPr>
        <w:t>a</w:t>
      </w:r>
      <w:r>
        <w:rPr>
          <w:color w:val="231F20"/>
          <w:spacing w:val="-23"/>
          <w:w w:val="110"/>
        </w:rPr>
        <w:t> </w:t>
      </w:r>
      <w:r>
        <w:rPr>
          <w:color w:val="231F20"/>
          <w:w w:val="110"/>
        </w:rPr>
        <w:t>participation</w:t>
      </w:r>
      <w:r>
        <w:rPr>
          <w:color w:val="231F20"/>
          <w:spacing w:val="-22"/>
          <w:w w:val="110"/>
        </w:rPr>
        <w:t> </w:t>
      </w:r>
      <w:r>
        <w:rPr>
          <w:color w:val="231F20"/>
          <w:w w:val="110"/>
        </w:rPr>
        <w:t>remuneration</w:t>
      </w:r>
      <w:r>
        <w:rPr>
          <w:color w:val="231F20"/>
          <w:spacing w:val="-23"/>
          <w:w w:val="110"/>
        </w:rPr>
        <w:t> </w:t>
      </w:r>
      <w:r>
        <w:rPr>
          <w:color w:val="231F20"/>
          <w:w w:val="110"/>
        </w:rPr>
        <w:t>to</w:t>
      </w:r>
      <w:r>
        <w:rPr>
          <w:color w:val="231F20"/>
          <w:spacing w:val="-22"/>
          <w:w w:val="110"/>
        </w:rPr>
        <w:t> </w:t>
      </w:r>
      <w:r>
        <w:rPr>
          <w:color w:val="231F20"/>
          <w:w w:val="110"/>
        </w:rPr>
        <w:t>Directors</w:t>
      </w:r>
      <w:r>
        <w:rPr>
          <w:color w:val="231F20"/>
          <w:spacing w:val="-23"/>
          <w:w w:val="110"/>
        </w:rPr>
        <w:t> </w:t>
      </w:r>
      <w:r>
        <w:rPr>
          <w:color w:val="231F20"/>
          <w:spacing w:val="-3"/>
          <w:w w:val="110"/>
        </w:rPr>
        <w:t>for</w:t>
      </w:r>
      <w:r>
        <w:rPr>
          <w:color w:val="231F20"/>
          <w:spacing w:val="-22"/>
          <w:w w:val="110"/>
        </w:rPr>
        <w:t> </w:t>
      </w:r>
      <w:r>
        <w:rPr>
          <w:color w:val="231F20"/>
          <w:w w:val="110"/>
        </w:rPr>
        <w:t>meetings</w:t>
      </w:r>
      <w:r>
        <w:rPr>
          <w:color w:val="231F20"/>
          <w:spacing w:val="-23"/>
          <w:w w:val="110"/>
        </w:rPr>
        <w:t> </w:t>
      </w:r>
      <w:r>
        <w:rPr>
          <w:color w:val="231F20"/>
          <w:w w:val="110"/>
        </w:rPr>
        <w:t>via</w:t>
      </w:r>
      <w:r>
        <w:rPr>
          <w:color w:val="231F20"/>
          <w:spacing w:val="-22"/>
          <w:w w:val="110"/>
        </w:rPr>
        <w:t> </w:t>
      </w:r>
      <w:r>
        <w:rPr>
          <w:color w:val="231F20"/>
          <w:w w:val="110"/>
        </w:rPr>
        <w:t>electronic</w:t>
      </w:r>
      <w:r>
        <w:rPr>
          <w:color w:val="231F20"/>
          <w:spacing w:val="-23"/>
          <w:w w:val="110"/>
        </w:rPr>
        <w:t> </w:t>
      </w:r>
      <w:r>
        <w:rPr>
          <w:color w:val="231F20"/>
          <w:w w:val="110"/>
        </w:rPr>
        <w:t>means</w:t>
      </w:r>
      <w:r>
        <w:rPr>
          <w:color w:val="231F20"/>
          <w:spacing w:val="-22"/>
          <w:w w:val="110"/>
        </w:rPr>
        <w:t> </w:t>
      </w:r>
      <w:r>
        <w:rPr>
          <w:color w:val="231F20"/>
          <w:spacing w:val="-3"/>
          <w:w w:val="110"/>
        </w:rPr>
        <w:t>at</w:t>
      </w:r>
      <w:r>
        <w:rPr>
          <w:color w:val="231F20"/>
          <w:spacing w:val="-23"/>
          <w:w w:val="110"/>
        </w:rPr>
        <w:t> </w:t>
      </w:r>
      <w:r>
        <w:rPr>
          <w:color w:val="231F20"/>
          <w:w w:val="110"/>
        </w:rPr>
        <w:t>the</w:t>
      </w:r>
      <w:r>
        <w:rPr>
          <w:color w:val="231F20"/>
          <w:spacing w:val="-22"/>
          <w:w w:val="110"/>
        </w:rPr>
        <w:t> </w:t>
      </w:r>
      <w:r>
        <w:rPr>
          <w:color w:val="231F20"/>
          <w:w w:val="110"/>
        </w:rPr>
        <w:t>same</w:t>
      </w:r>
      <w:r>
        <w:rPr>
          <w:color w:val="231F20"/>
          <w:spacing w:val="-23"/>
          <w:w w:val="110"/>
        </w:rPr>
        <w:t> </w:t>
      </w:r>
      <w:r>
        <w:rPr>
          <w:color w:val="231F20"/>
          <w:w w:val="110"/>
        </w:rPr>
        <w:t>rate</w:t>
      </w:r>
      <w:r>
        <w:rPr>
          <w:color w:val="231F20"/>
          <w:spacing w:val="-22"/>
          <w:w w:val="110"/>
        </w:rPr>
        <w:t> </w:t>
      </w:r>
      <w:r>
        <w:rPr>
          <w:color w:val="231F20"/>
          <w:w w:val="110"/>
        </w:rPr>
        <w:t>as the</w:t>
      </w:r>
      <w:r>
        <w:rPr>
          <w:color w:val="231F20"/>
          <w:spacing w:val="-20"/>
          <w:w w:val="110"/>
        </w:rPr>
        <w:t> </w:t>
      </w:r>
      <w:r>
        <w:rPr>
          <w:color w:val="231F20"/>
          <w:w w:val="110"/>
        </w:rPr>
        <w:t>remuneration</w:t>
      </w:r>
      <w:r>
        <w:rPr>
          <w:color w:val="231F20"/>
          <w:spacing w:val="-19"/>
          <w:w w:val="110"/>
        </w:rPr>
        <w:t> </w:t>
      </w:r>
      <w:r>
        <w:rPr>
          <w:color w:val="231F20"/>
          <w:w w:val="110"/>
        </w:rPr>
        <w:t>it</w:t>
      </w:r>
      <w:r>
        <w:rPr>
          <w:color w:val="231F20"/>
          <w:spacing w:val="-20"/>
          <w:w w:val="110"/>
        </w:rPr>
        <w:t> </w:t>
      </w:r>
      <w:r>
        <w:rPr>
          <w:color w:val="231F20"/>
          <w:w w:val="110"/>
        </w:rPr>
        <w:t>pays</w:t>
      </w:r>
      <w:r>
        <w:rPr>
          <w:color w:val="231F20"/>
          <w:spacing w:val="-19"/>
          <w:w w:val="110"/>
        </w:rPr>
        <w:t> </w:t>
      </w:r>
      <w:r>
        <w:rPr>
          <w:color w:val="231F20"/>
          <w:spacing w:val="-3"/>
          <w:w w:val="110"/>
        </w:rPr>
        <w:t>for</w:t>
      </w:r>
      <w:r>
        <w:rPr>
          <w:color w:val="231F20"/>
          <w:spacing w:val="-20"/>
          <w:w w:val="110"/>
        </w:rPr>
        <w:t> </w:t>
      </w:r>
      <w:r>
        <w:rPr>
          <w:color w:val="231F20"/>
          <w:spacing w:val="-3"/>
          <w:w w:val="110"/>
        </w:rPr>
        <w:t>physical</w:t>
      </w:r>
      <w:r>
        <w:rPr>
          <w:color w:val="231F20"/>
          <w:spacing w:val="-19"/>
          <w:w w:val="110"/>
        </w:rPr>
        <w:t> </w:t>
      </w:r>
      <w:r>
        <w:rPr>
          <w:color w:val="231F20"/>
          <w:w w:val="110"/>
        </w:rPr>
        <w:t>meetings</w:t>
      </w:r>
      <w:r>
        <w:rPr>
          <w:color w:val="231F20"/>
          <w:spacing w:val="-19"/>
          <w:w w:val="110"/>
        </w:rPr>
        <w:t> </w:t>
      </w:r>
      <w:r>
        <w:rPr>
          <w:color w:val="231F20"/>
          <w:w w:val="110"/>
        </w:rPr>
        <w:t>(subject</w:t>
      </w:r>
      <w:r>
        <w:rPr>
          <w:color w:val="231F20"/>
          <w:spacing w:val="-20"/>
          <w:w w:val="110"/>
        </w:rPr>
        <w:t> </w:t>
      </w:r>
      <w:r>
        <w:rPr>
          <w:color w:val="231F20"/>
          <w:w w:val="110"/>
        </w:rPr>
        <w:t>to</w:t>
      </w:r>
      <w:r>
        <w:rPr>
          <w:color w:val="231F20"/>
          <w:spacing w:val="-19"/>
          <w:w w:val="110"/>
        </w:rPr>
        <w:t> </w:t>
      </w:r>
      <w:r>
        <w:rPr>
          <w:color w:val="231F20"/>
          <w:spacing w:val="-3"/>
          <w:w w:val="110"/>
        </w:rPr>
        <w:t>any</w:t>
      </w:r>
      <w:r>
        <w:rPr>
          <w:color w:val="231F20"/>
          <w:spacing w:val="-20"/>
          <w:w w:val="110"/>
        </w:rPr>
        <w:t> </w:t>
      </w:r>
      <w:r>
        <w:rPr>
          <w:color w:val="231F20"/>
          <w:w w:val="110"/>
        </w:rPr>
        <w:t>applicable</w:t>
      </w:r>
      <w:r>
        <w:rPr>
          <w:color w:val="231F20"/>
          <w:spacing w:val="-19"/>
          <w:w w:val="110"/>
        </w:rPr>
        <w:t> </w:t>
      </w:r>
      <w:r>
        <w:rPr>
          <w:color w:val="231F20"/>
          <w:spacing w:val="-3"/>
          <w:w w:val="110"/>
        </w:rPr>
        <w:t>law).</w:t>
      </w:r>
      <w:r>
        <w:rPr>
          <w:color w:val="231F20"/>
          <w:spacing w:val="-20"/>
          <w:w w:val="110"/>
        </w:rPr>
        <w:t> </w:t>
      </w:r>
      <w:r>
        <w:rPr>
          <w:color w:val="231F20"/>
          <w:w w:val="110"/>
        </w:rPr>
        <w:t>In</w:t>
      </w:r>
      <w:r>
        <w:rPr>
          <w:color w:val="231F20"/>
          <w:spacing w:val="-19"/>
          <w:w w:val="110"/>
        </w:rPr>
        <w:t> </w:t>
      </w:r>
      <w:r>
        <w:rPr>
          <w:color w:val="231F20"/>
          <w:w w:val="110"/>
        </w:rPr>
        <w:t>addition</w:t>
      </w:r>
      <w:r>
        <w:rPr>
          <w:color w:val="231F20"/>
          <w:spacing w:val="-19"/>
          <w:w w:val="110"/>
        </w:rPr>
        <w:t> </w:t>
      </w:r>
      <w:r>
        <w:rPr>
          <w:color w:val="231F20"/>
          <w:w w:val="110"/>
        </w:rPr>
        <w:t>to</w:t>
      </w:r>
      <w:r>
        <w:rPr>
          <w:color w:val="231F20"/>
          <w:spacing w:val="-20"/>
          <w:w w:val="110"/>
        </w:rPr>
        <w:t> </w:t>
      </w:r>
      <w:r>
        <w:rPr>
          <w:color w:val="231F20"/>
          <w:w w:val="110"/>
        </w:rPr>
        <w:t>the </w:t>
      </w:r>
      <w:r>
        <w:rPr>
          <w:color w:val="231F20"/>
          <w:spacing w:val="-5"/>
          <w:w w:val="110"/>
        </w:rPr>
        <w:t>above,</w:t>
      </w:r>
      <w:r>
        <w:rPr>
          <w:color w:val="231F20"/>
          <w:spacing w:val="-30"/>
          <w:w w:val="110"/>
        </w:rPr>
        <w:t> </w:t>
      </w:r>
      <w:r>
        <w:rPr>
          <w:color w:val="231F20"/>
          <w:w w:val="110"/>
        </w:rPr>
        <w:t>the</w:t>
      </w:r>
      <w:r>
        <w:rPr>
          <w:color w:val="231F20"/>
          <w:spacing w:val="-30"/>
          <w:w w:val="110"/>
        </w:rPr>
        <w:t> </w:t>
      </w:r>
      <w:r>
        <w:rPr>
          <w:color w:val="231F20"/>
          <w:w w:val="110"/>
        </w:rPr>
        <w:t>Company</w:t>
      </w:r>
      <w:r>
        <w:rPr>
          <w:color w:val="231F20"/>
          <w:spacing w:val="-29"/>
          <w:w w:val="110"/>
        </w:rPr>
        <w:t> </w:t>
      </w:r>
      <w:r>
        <w:rPr>
          <w:color w:val="231F20"/>
          <w:w w:val="110"/>
        </w:rPr>
        <w:t>will</w:t>
      </w:r>
      <w:r>
        <w:rPr>
          <w:color w:val="231F20"/>
          <w:spacing w:val="-30"/>
          <w:w w:val="110"/>
        </w:rPr>
        <w:t> </w:t>
      </w:r>
      <w:r>
        <w:rPr>
          <w:color w:val="231F20"/>
          <w:w w:val="110"/>
        </w:rPr>
        <w:t>reimburse</w:t>
      </w:r>
      <w:r>
        <w:rPr>
          <w:color w:val="231F20"/>
          <w:spacing w:val="-29"/>
          <w:w w:val="110"/>
        </w:rPr>
        <w:t> </w:t>
      </w:r>
      <w:r>
        <w:rPr>
          <w:color w:val="231F20"/>
          <w:w w:val="110"/>
        </w:rPr>
        <w:t>or</w:t>
      </w:r>
      <w:r>
        <w:rPr>
          <w:color w:val="231F20"/>
          <w:spacing w:val="-30"/>
          <w:w w:val="110"/>
        </w:rPr>
        <w:t> </w:t>
      </w:r>
      <w:r>
        <w:rPr>
          <w:color w:val="231F20"/>
          <w:w w:val="110"/>
        </w:rPr>
        <w:t>cover</w:t>
      </w:r>
      <w:r>
        <w:rPr>
          <w:color w:val="231F20"/>
          <w:spacing w:val="-29"/>
          <w:w w:val="110"/>
        </w:rPr>
        <w:t> </w:t>
      </w:r>
      <w:r>
        <w:rPr>
          <w:color w:val="231F20"/>
          <w:w w:val="110"/>
        </w:rPr>
        <w:t>its</w:t>
      </w:r>
      <w:r>
        <w:rPr>
          <w:color w:val="231F20"/>
          <w:spacing w:val="-30"/>
          <w:w w:val="110"/>
        </w:rPr>
        <w:t> </w:t>
      </w:r>
      <w:r>
        <w:rPr>
          <w:color w:val="231F20"/>
          <w:w w:val="110"/>
        </w:rPr>
        <w:t>Directors</w:t>
      </w:r>
      <w:r>
        <w:rPr>
          <w:color w:val="231F20"/>
          <w:spacing w:val="-29"/>
          <w:w w:val="110"/>
        </w:rPr>
        <w:t> </w:t>
      </w:r>
      <w:r>
        <w:rPr>
          <w:color w:val="231F20"/>
          <w:spacing w:val="-3"/>
          <w:w w:val="110"/>
        </w:rPr>
        <w:t>for</w:t>
      </w:r>
      <w:r>
        <w:rPr>
          <w:color w:val="231F20"/>
          <w:spacing w:val="-30"/>
          <w:w w:val="110"/>
        </w:rPr>
        <w:t> </w:t>
      </w:r>
      <w:r>
        <w:rPr>
          <w:color w:val="231F20"/>
          <w:w w:val="110"/>
        </w:rPr>
        <w:t>expenses</w:t>
      </w:r>
      <w:r>
        <w:rPr>
          <w:color w:val="231F20"/>
          <w:spacing w:val="-29"/>
          <w:w w:val="110"/>
        </w:rPr>
        <w:t> </w:t>
      </w:r>
      <w:r>
        <w:rPr>
          <w:color w:val="231F20"/>
          <w:w w:val="110"/>
        </w:rPr>
        <w:t>(including</w:t>
      </w:r>
      <w:r>
        <w:rPr>
          <w:color w:val="231F20"/>
          <w:spacing w:val="-30"/>
          <w:w w:val="110"/>
        </w:rPr>
        <w:t> </w:t>
      </w:r>
      <w:r>
        <w:rPr>
          <w:color w:val="231F20"/>
          <w:spacing w:val="-4"/>
          <w:w w:val="110"/>
        </w:rPr>
        <w:t>travel</w:t>
      </w:r>
      <w:r>
        <w:rPr>
          <w:color w:val="231F20"/>
          <w:spacing w:val="-29"/>
          <w:w w:val="110"/>
        </w:rPr>
        <w:t> </w:t>
      </w:r>
      <w:r>
        <w:rPr>
          <w:color w:val="231F20"/>
          <w:w w:val="110"/>
        </w:rPr>
        <w:t>expenses) incurred</w:t>
      </w:r>
      <w:r>
        <w:rPr>
          <w:color w:val="231F20"/>
          <w:spacing w:val="-11"/>
          <w:w w:val="110"/>
        </w:rPr>
        <w:t> </w:t>
      </w:r>
      <w:r>
        <w:rPr>
          <w:color w:val="231F20"/>
          <w:w w:val="110"/>
        </w:rPr>
        <w:t>in</w:t>
      </w:r>
      <w:r>
        <w:rPr>
          <w:color w:val="231F20"/>
          <w:spacing w:val="-11"/>
          <w:w w:val="110"/>
        </w:rPr>
        <w:t> </w:t>
      </w:r>
      <w:r>
        <w:rPr>
          <w:color w:val="231F20"/>
          <w:w w:val="110"/>
        </w:rPr>
        <w:t>connection</w:t>
      </w:r>
      <w:r>
        <w:rPr>
          <w:color w:val="231F20"/>
          <w:spacing w:val="-11"/>
          <w:w w:val="110"/>
        </w:rPr>
        <w:t> </w:t>
      </w:r>
      <w:r>
        <w:rPr>
          <w:color w:val="231F20"/>
          <w:w w:val="110"/>
        </w:rPr>
        <w:t>with</w:t>
      </w:r>
      <w:r>
        <w:rPr>
          <w:color w:val="231F20"/>
          <w:spacing w:val="-11"/>
          <w:w w:val="110"/>
        </w:rPr>
        <w:t> </w:t>
      </w:r>
      <w:r>
        <w:rPr>
          <w:color w:val="231F20"/>
          <w:w w:val="110"/>
        </w:rPr>
        <w:t>Board</w:t>
      </w:r>
      <w:r>
        <w:rPr>
          <w:color w:val="231F20"/>
          <w:spacing w:val="-11"/>
          <w:w w:val="110"/>
        </w:rPr>
        <w:t> </w:t>
      </w:r>
      <w:r>
        <w:rPr>
          <w:color w:val="231F20"/>
          <w:w w:val="110"/>
        </w:rPr>
        <w:t>and</w:t>
      </w:r>
      <w:r>
        <w:rPr>
          <w:color w:val="231F20"/>
          <w:spacing w:val="-11"/>
          <w:w w:val="110"/>
        </w:rPr>
        <w:t> </w:t>
      </w:r>
      <w:r>
        <w:rPr>
          <w:color w:val="231F20"/>
          <w:w w:val="110"/>
        </w:rPr>
        <w:t>committee</w:t>
      </w:r>
      <w:r>
        <w:rPr>
          <w:color w:val="231F20"/>
          <w:spacing w:val="-11"/>
          <w:w w:val="110"/>
        </w:rPr>
        <w:t> </w:t>
      </w:r>
      <w:r>
        <w:rPr>
          <w:color w:val="231F20"/>
          <w:w w:val="110"/>
        </w:rPr>
        <w:t>meetings</w:t>
      </w:r>
      <w:r>
        <w:rPr>
          <w:color w:val="231F20"/>
          <w:spacing w:val="-11"/>
          <w:w w:val="110"/>
        </w:rPr>
        <w:t> </w:t>
      </w:r>
      <w:r>
        <w:rPr>
          <w:color w:val="231F20"/>
          <w:w w:val="110"/>
        </w:rPr>
        <w:t>or</w:t>
      </w:r>
      <w:r>
        <w:rPr>
          <w:color w:val="231F20"/>
          <w:spacing w:val="-11"/>
          <w:w w:val="110"/>
        </w:rPr>
        <w:t> </w:t>
      </w:r>
      <w:r>
        <w:rPr>
          <w:color w:val="231F20"/>
          <w:w w:val="110"/>
        </w:rPr>
        <w:t>performing</w:t>
      </w:r>
      <w:r>
        <w:rPr>
          <w:color w:val="231F20"/>
          <w:spacing w:val="-11"/>
          <w:w w:val="110"/>
        </w:rPr>
        <w:t> </w:t>
      </w:r>
      <w:r>
        <w:rPr>
          <w:color w:val="231F20"/>
          <w:w w:val="110"/>
        </w:rPr>
        <w:t>other</w:t>
      </w:r>
      <w:r>
        <w:rPr>
          <w:color w:val="231F20"/>
          <w:spacing w:val="-10"/>
          <w:w w:val="110"/>
        </w:rPr>
        <w:t> </w:t>
      </w:r>
      <w:r>
        <w:rPr>
          <w:color w:val="231F20"/>
          <w:w w:val="110"/>
        </w:rPr>
        <w:t>services</w:t>
      </w:r>
      <w:r>
        <w:rPr>
          <w:color w:val="231F20"/>
          <w:spacing w:val="-11"/>
          <w:w w:val="110"/>
        </w:rPr>
        <w:t> </w:t>
      </w:r>
      <w:r>
        <w:rPr>
          <w:color w:val="231F20"/>
          <w:spacing w:val="-3"/>
          <w:w w:val="110"/>
        </w:rPr>
        <w:t>for</w:t>
      </w:r>
      <w:r>
        <w:rPr>
          <w:color w:val="231F20"/>
          <w:spacing w:val="-11"/>
          <w:w w:val="110"/>
        </w:rPr>
        <w:t> </w:t>
      </w:r>
      <w:r>
        <w:rPr>
          <w:color w:val="231F20"/>
          <w:w w:val="110"/>
        </w:rPr>
        <w:t>the Company</w:t>
      </w:r>
      <w:r>
        <w:rPr>
          <w:color w:val="231F20"/>
          <w:spacing w:val="-20"/>
          <w:w w:val="110"/>
        </w:rPr>
        <w:t> </w:t>
      </w:r>
      <w:r>
        <w:rPr>
          <w:color w:val="231F20"/>
          <w:w w:val="110"/>
        </w:rPr>
        <w:t>in</w:t>
      </w:r>
      <w:r>
        <w:rPr>
          <w:color w:val="231F20"/>
          <w:spacing w:val="-19"/>
          <w:w w:val="110"/>
        </w:rPr>
        <w:t> </w:t>
      </w:r>
      <w:r>
        <w:rPr>
          <w:color w:val="231F20"/>
          <w:w w:val="110"/>
        </w:rPr>
        <w:t>their</w:t>
      </w:r>
      <w:r>
        <w:rPr>
          <w:color w:val="231F20"/>
          <w:spacing w:val="-19"/>
          <w:w w:val="110"/>
        </w:rPr>
        <w:t> </w:t>
      </w:r>
      <w:r>
        <w:rPr>
          <w:color w:val="231F20"/>
          <w:w w:val="110"/>
        </w:rPr>
        <w:t>capacity</w:t>
      </w:r>
      <w:r>
        <w:rPr>
          <w:color w:val="231F20"/>
          <w:spacing w:val="-19"/>
          <w:w w:val="110"/>
        </w:rPr>
        <w:t> </w:t>
      </w:r>
      <w:r>
        <w:rPr>
          <w:color w:val="231F20"/>
          <w:w w:val="110"/>
        </w:rPr>
        <w:t>as</w:t>
      </w:r>
      <w:r>
        <w:rPr>
          <w:color w:val="231F20"/>
          <w:spacing w:val="-19"/>
          <w:w w:val="110"/>
        </w:rPr>
        <w:t> </w:t>
      </w:r>
      <w:r>
        <w:rPr>
          <w:color w:val="231F20"/>
          <w:w w:val="110"/>
        </w:rPr>
        <w:t>Directors,</w:t>
      </w:r>
      <w:r>
        <w:rPr>
          <w:color w:val="231F20"/>
          <w:spacing w:val="-19"/>
          <w:w w:val="110"/>
        </w:rPr>
        <w:t> </w:t>
      </w:r>
      <w:r>
        <w:rPr>
          <w:color w:val="231F20"/>
          <w:w w:val="110"/>
        </w:rPr>
        <w:t>in</w:t>
      </w:r>
      <w:r>
        <w:rPr>
          <w:color w:val="231F20"/>
          <w:spacing w:val="-19"/>
          <w:w w:val="110"/>
        </w:rPr>
        <w:t> </w:t>
      </w:r>
      <w:r>
        <w:rPr>
          <w:color w:val="231F20"/>
          <w:w w:val="110"/>
        </w:rPr>
        <w:t>accordance</w:t>
      </w:r>
      <w:r>
        <w:rPr>
          <w:color w:val="231F20"/>
          <w:spacing w:val="-19"/>
          <w:w w:val="110"/>
        </w:rPr>
        <w:t> </w:t>
      </w:r>
      <w:r>
        <w:rPr>
          <w:color w:val="231F20"/>
          <w:w w:val="110"/>
        </w:rPr>
        <w:t>with</w:t>
      </w:r>
      <w:r>
        <w:rPr>
          <w:color w:val="231F20"/>
          <w:spacing w:val="-19"/>
          <w:w w:val="110"/>
        </w:rPr>
        <w:t> </w:t>
      </w:r>
      <w:r>
        <w:rPr>
          <w:color w:val="231F20"/>
          <w:w w:val="110"/>
        </w:rPr>
        <w:t>Company</w:t>
      </w:r>
      <w:r>
        <w:rPr>
          <w:color w:val="231F20"/>
          <w:spacing w:val="-19"/>
          <w:w w:val="110"/>
        </w:rPr>
        <w:t> </w:t>
      </w:r>
      <w:r>
        <w:rPr>
          <w:color w:val="231F20"/>
          <w:w w:val="110"/>
        </w:rPr>
        <w:t>policy</w:t>
      </w:r>
      <w:r>
        <w:rPr>
          <w:color w:val="231F20"/>
          <w:spacing w:val="-19"/>
          <w:w w:val="110"/>
        </w:rPr>
        <w:t> </w:t>
      </w:r>
      <w:r>
        <w:rPr>
          <w:color w:val="231F20"/>
          <w:w w:val="110"/>
        </w:rPr>
        <w:t>as</w:t>
      </w:r>
      <w:r>
        <w:rPr>
          <w:color w:val="231F20"/>
          <w:spacing w:val="-19"/>
          <w:w w:val="110"/>
        </w:rPr>
        <w:t> </w:t>
      </w:r>
      <w:r>
        <w:rPr>
          <w:color w:val="231F20"/>
          <w:w w:val="110"/>
        </w:rPr>
        <w:t>in</w:t>
      </w:r>
      <w:r>
        <w:rPr>
          <w:color w:val="231F20"/>
          <w:spacing w:val="-19"/>
          <w:w w:val="110"/>
        </w:rPr>
        <w:t> </w:t>
      </w:r>
      <w:r>
        <w:rPr>
          <w:color w:val="231F20"/>
          <w:w w:val="110"/>
        </w:rPr>
        <w:t>effect</w:t>
      </w:r>
      <w:r>
        <w:rPr>
          <w:color w:val="231F20"/>
          <w:spacing w:val="-19"/>
          <w:w w:val="110"/>
        </w:rPr>
        <w:t> </w:t>
      </w:r>
      <w:r>
        <w:rPr>
          <w:color w:val="231F20"/>
          <w:w w:val="110"/>
        </w:rPr>
        <w:t>from</w:t>
      </w:r>
    </w:p>
    <w:p>
      <w:pPr>
        <w:pStyle w:val="BodyText"/>
        <w:spacing w:line="244" w:lineRule="auto"/>
        <w:ind w:left="1888" w:right="1590"/>
      </w:pPr>
      <w:r>
        <w:rPr>
          <w:color w:val="231F20"/>
          <w:w w:val="110"/>
        </w:rPr>
        <w:t>time</w:t>
      </w:r>
      <w:r>
        <w:rPr>
          <w:color w:val="231F20"/>
          <w:spacing w:val="-21"/>
          <w:w w:val="110"/>
        </w:rPr>
        <w:t> </w:t>
      </w:r>
      <w:r>
        <w:rPr>
          <w:color w:val="231F20"/>
          <w:w w:val="110"/>
        </w:rPr>
        <w:t>to</w:t>
      </w:r>
      <w:r>
        <w:rPr>
          <w:color w:val="231F20"/>
          <w:spacing w:val="-20"/>
          <w:w w:val="110"/>
        </w:rPr>
        <w:t> </w:t>
      </w:r>
      <w:r>
        <w:rPr>
          <w:color w:val="231F20"/>
          <w:w w:val="110"/>
        </w:rPr>
        <w:t>time,</w:t>
      </w:r>
      <w:r>
        <w:rPr>
          <w:color w:val="231F20"/>
          <w:spacing w:val="-20"/>
          <w:w w:val="110"/>
        </w:rPr>
        <w:t> </w:t>
      </w:r>
      <w:r>
        <w:rPr>
          <w:color w:val="231F20"/>
          <w:w w:val="110"/>
        </w:rPr>
        <w:t>and</w:t>
      </w:r>
      <w:r>
        <w:rPr>
          <w:color w:val="231F20"/>
          <w:spacing w:val="-20"/>
          <w:w w:val="110"/>
        </w:rPr>
        <w:t> </w:t>
      </w:r>
      <w:r>
        <w:rPr>
          <w:color w:val="231F20"/>
          <w:w w:val="110"/>
        </w:rPr>
        <w:t>subject</w:t>
      </w:r>
      <w:r>
        <w:rPr>
          <w:color w:val="231F20"/>
          <w:spacing w:val="-20"/>
          <w:w w:val="110"/>
        </w:rPr>
        <w:t> </w:t>
      </w:r>
      <w:r>
        <w:rPr>
          <w:color w:val="231F20"/>
          <w:w w:val="110"/>
        </w:rPr>
        <w:t>to</w:t>
      </w:r>
      <w:r>
        <w:rPr>
          <w:color w:val="231F20"/>
          <w:spacing w:val="-21"/>
          <w:w w:val="110"/>
        </w:rPr>
        <w:t> </w:t>
      </w:r>
      <w:r>
        <w:rPr>
          <w:color w:val="231F20"/>
          <w:w w:val="110"/>
        </w:rPr>
        <w:t>applicable</w:t>
      </w:r>
      <w:r>
        <w:rPr>
          <w:color w:val="231F20"/>
          <w:spacing w:val="-20"/>
          <w:w w:val="110"/>
        </w:rPr>
        <w:t> </w:t>
      </w:r>
      <w:r>
        <w:rPr>
          <w:color w:val="231F20"/>
          <w:spacing w:val="-9"/>
          <w:w w:val="110"/>
        </w:rPr>
        <w:t>law.</w:t>
      </w:r>
      <w:r>
        <w:rPr>
          <w:color w:val="231F20"/>
          <w:spacing w:val="-20"/>
          <w:w w:val="110"/>
        </w:rPr>
        <w:t> </w:t>
      </w:r>
      <w:r>
        <w:rPr>
          <w:color w:val="231F20"/>
          <w:spacing w:val="-6"/>
          <w:w w:val="110"/>
        </w:rPr>
        <w:t>For</w:t>
      </w:r>
      <w:r>
        <w:rPr>
          <w:color w:val="231F20"/>
          <w:spacing w:val="-20"/>
          <w:w w:val="110"/>
        </w:rPr>
        <w:t> </w:t>
      </w:r>
      <w:r>
        <w:rPr>
          <w:color w:val="231F20"/>
          <w:w w:val="110"/>
        </w:rPr>
        <w:t>the</w:t>
      </w:r>
      <w:r>
        <w:rPr>
          <w:color w:val="231F20"/>
          <w:spacing w:val="-20"/>
          <w:w w:val="110"/>
        </w:rPr>
        <w:t> </w:t>
      </w:r>
      <w:r>
        <w:rPr>
          <w:color w:val="231F20"/>
          <w:spacing w:val="-3"/>
          <w:w w:val="110"/>
        </w:rPr>
        <w:t>avoidance</w:t>
      </w:r>
      <w:r>
        <w:rPr>
          <w:color w:val="231F20"/>
          <w:spacing w:val="-21"/>
          <w:w w:val="110"/>
        </w:rPr>
        <w:t> </w:t>
      </w:r>
      <w:r>
        <w:rPr>
          <w:color w:val="231F20"/>
          <w:w w:val="110"/>
        </w:rPr>
        <w:t>of</w:t>
      </w:r>
      <w:r>
        <w:rPr>
          <w:color w:val="231F20"/>
          <w:spacing w:val="-6"/>
          <w:w w:val="110"/>
        </w:rPr>
        <w:t> </w:t>
      </w:r>
      <w:r>
        <w:rPr>
          <w:color w:val="231F20"/>
          <w:w w:val="110"/>
        </w:rPr>
        <w:t>doubt,</w:t>
      </w:r>
      <w:r>
        <w:rPr>
          <w:color w:val="231F20"/>
          <w:spacing w:val="-20"/>
          <w:w w:val="110"/>
        </w:rPr>
        <w:t> </w:t>
      </w:r>
      <w:r>
        <w:rPr>
          <w:color w:val="231F20"/>
          <w:w w:val="110"/>
        </w:rPr>
        <w:t>the</w:t>
      </w:r>
      <w:r>
        <w:rPr>
          <w:color w:val="231F20"/>
          <w:spacing w:val="-21"/>
          <w:w w:val="110"/>
        </w:rPr>
        <w:t> </w:t>
      </w:r>
      <w:r>
        <w:rPr>
          <w:color w:val="231F20"/>
          <w:w w:val="110"/>
        </w:rPr>
        <w:t>foregoing</w:t>
      </w:r>
      <w:r>
        <w:rPr>
          <w:color w:val="231F20"/>
          <w:spacing w:val="-20"/>
          <w:w w:val="110"/>
        </w:rPr>
        <w:t> </w:t>
      </w:r>
      <w:r>
        <w:rPr>
          <w:color w:val="231F20"/>
          <w:w w:val="110"/>
        </w:rPr>
        <w:t>will</w:t>
      </w:r>
      <w:r>
        <w:rPr>
          <w:color w:val="231F20"/>
          <w:spacing w:val="-20"/>
          <w:w w:val="110"/>
        </w:rPr>
        <w:t> </w:t>
      </w:r>
      <w:r>
        <w:rPr>
          <w:color w:val="231F20"/>
          <w:w w:val="110"/>
        </w:rPr>
        <w:t>not</w:t>
      </w:r>
      <w:r>
        <w:rPr>
          <w:color w:val="231F20"/>
          <w:spacing w:val="-20"/>
          <w:w w:val="110"/>
        </w:rPr>
        <w:t> </w:t>
      </w:r>
      <w:r>
        <w:rPr>
          <w:color w:val="231F20"/>
          <w:w w:val="110"/>
        </w:rPr>
        <w:t>be applicable</w:t>
      </w:r>
      <w:r>
        <w:rPr>
          <w:color w:val="231F20"/>
          <w:spacing w:val="-16"/>
          <w:w w:val="110"/>
        </w:rPr>
        <w:t> </w:t>
      </w:r>
      <w:r>
        <w:rPr>
          <w:color w:val="231F20"/>
          <w:w w:val="110"/>
        </w:rPr>
        <w:t>with</w:t>
      </w:r>
      <w:r>
        <w:rPr>
          <w:color w:val="231F20"/>
          <w:spacing w:val="-15"/>
          <w:w w:val="110"/>
        </w:rPr>
        <w:t> </w:t>
      </w:r>
      <w:r>
        <w:rPr>
          <w:color w:val="231F20"/>
          <w:w w:val="110"/>
        </w:rPr>
        <w:t>respect</w:t>
      </w:r>
      <w:r>
        <w:rPr>
          <w:color w:val="231F20"/>
          <w:spacing w:val="-15"/>
          <w:w w:val="110"/>
        </w:rPr>
        <w:t> </w:t>
      </w:r>
      <w:r>
        <w:rPr>
          <w:color w:val="231F20"/>
          <w:w w:val="110"/>
        </w:rPr>
        <w:t>to</w:t>
      </w:r>
      <w:r>
        <w:rPr>
          <w:color w:val="231F20"/>
          <w:spacing w:val="-15"/>
          <w:w w:val="110"/>
        </w:rPr>
        <w:t> </w:t>
      </w:r>
      <w:r>
        <w:rPr>
          <w:color w:val="231F20"/>
          <w:w w:val="110"/>
        </w:rPr>
        <w:t>the</w:t>
      </w:r>
      <w:r>
        <w:rPr>
          <w:color w:val="231F20"/>
          <w:spacing w:val="-15"/>
          <w:w w:val="110"/>
        </w:rPr>
        <w:t> </w:t>
      </w:r>
      <w:r>
        <w:rPr>
          <w:color w:val="231F20"/>
          <w:w w:val="110"/>
        </w:rPr>
        <w:t>Chairman</w:t>
      </w:r>
      <w:r>
        <w:rPr>
          <w:color w:val="231F20"/>
          <w:spacing w:val="-15"/>
          <w:w w:val="110"/>
        </w:rPr>
        <w:t> </w:t>
      </w:r>
      <w:r>
        <w:rPr>
          <w:color w:val="231F20"/>
          <w:w w:val="110"/>
        </w:rPr>
        <w:t>who</w:t>
      </w:r>
      <w:r>
        <w:rPr>
          <w:color w:val="231F20"/>
          <w:spacing w:val="-15"/>
          <w:w w:val="110"/>
        </w:rPr>
        <w:t> </w:t>
      </w:r>
      <w:r>
        <w:rPr>
          <w:color w:val="231F20"/>
          <w:w w:val="110"/>
        </w:rPr>
        <w:t>receives</w:t>
      </w:r>
      <w:r>
        <w:rPr>
          <w:color w:val="231F20"/>
          <w:spacing w:val="-15"/>
          <w:w w:val="110"/>
        </w:rPr>
        <w:t> </w:t>
      </w:r>
      <w:r>
        <w:rPr>
          <w:color w:val="231F20"/>
          <w:w w:val="110"/>
        </w:rPr>
        <w:t>the</w:t>
      </w:r>
      <w:r>
        <w:rPr>
          <w:color w:val="231F20"/>
          <w:spacing w:val="-15"/>
          <w:w w:val="110"/>
        </w:rPr>
        <w:t> </w:t>
      </w:r>
      <w:r>
        <w:rPr>
          <w:color w:val="231F20"/>
          <w:spacing w:val="-3"/>
          <w:w w:val="110"/>
        </w:rPr>
        <w:t>Chairman’s</w:t>
      </w:r>
      <w:r>
        <w:rPr>
          <w:color w:val="231F20"/>
          <w:spacing w:val="-15"/>
          <w:w w:val="110"/>
        </w:rPr>
        <w:t> </w:t>
      </w:r>
      <w:r>
        <w:rPr>
          <w:color w:val="231F20"/>
          <w:w w:val="110"/>
        </w:rPr>
        <w:t>Compensation.</w:t>
      </w:r>
    </w:p>
    <w:p>
      <w:pPr>
        <w:pStyle w:val="ListParagraph"/>
        <w:numPr>
          <w:ilvl w:val="1"/>
          <w:numId w:val="4"/>
        </w:numPr>
        <w:tabs>
          <w:tab w:pos="1997" w:val="left" w:leader="none"/>
        </w:tabs>
        <w:spacing w:line="244" w:lineRule="auto" w:before="153" w:after="0"/>
        <w:ind w:left="1489" w:right="2018" w:firstLine="0"/>
        <w:jc w:val="left"/>
        <w:rPr>
          <w:sz w:val="20"/>
        </w:rPr>
      </w:pPr>
      <w:r>
        <w:rPr>
          <w:color w:val="231F20"/>
          <w:w w:val="105"/>
          <w:sz w:val="20"/>
        </w:rPr>
        <w:t>Directors (including the Chairman) </w:t>
      </w:r>
      <w:r>
        <w:rPr>
          <w:color w:val="231F20"/>
          <w:spacing w:val="-3"/>
          <w:w w:val="105"/>
          <w:sz w:val="20"/>
        </w:rPr>
        <w:t>may also </w:t>
      </w:r>
      <w:r>
        <w:rPr>
          <w:color w:val="231F20"/>
          <w:w w:val="105"/>
          <w:sz w:val="20"/>
        </w:rPr>
        <w:t>be eligible to a Share-Base Compensation as hereinafter defined. </w:t>
      </w:r>
      <w:r>
        <w:rPr>
          <w:color w:val="231F20"/>
          <w:w w:val="105"/>
          <w:sz w:val="20"/>
          <w:u w:val="single" w:color="231F20"/>
        </w:rPr>
        <w:t>Executive</w:t>
      </w:r>
      <w:r>
        <w:rPr>
          <w:color w:val="231F20"/>
          <w:spacing w:val="-12"/>
          <w:w w:val="105"/>
          <w:sz w:val="20"/>
          <w:u w:val="single" w:color="231F20"/>
        </w:rPr>
        <w:t> </w:t>
      </w:r>
      <w:r>
        <w:rPr>
          <w:color w:val="231F20"/>
          <w:w w:val="105"/>
          <w:sz w:val="20"/>
          <w:u w:val="single" w:color="231F20"/>
        </w:rPr>
        <w:t>Officers</w:t>
      </w:r>
    </w:p>
    <w:p>
      <w:pPr>
        <w:pStyle w:val="ListParagraph"/>
        <w:numPr>
          <w:ilvl w:val="2"/>
          <w:numId w:val="4"/>
        </w:numPr>
        <w:tabs>
          <w:tab w:pos="2468" w:val="left" w:leader="none"/>
        </w:tabs>
        <w:spacing w:line="244" w:lineRule="auto" w:before="159" w:after="0"/>
        <w:ind w:left="2467" w:right="1466" w:hanging="579"/>
        <w:jc w:val="left"/>
        <w:rPr>
          <w:sz w:val="20"/>
        </w:rPr>
      </w:pPr>
      <w:r>
        <w:rPr>
          <w:color w:val="231F20"/>
          <w:w w:val="105"/>
          <w:sz w:val="20"/>
        </w:rPr>
        <w:t>The Base Salary of each Executive </w:t>
      </w:r>
      <w:r>
        <w:rPr>
          <w:color w:val="231F20"/>
          <w:spacing w:val="-3"/>
          <w:w w:val="105"/>
          <w:sz w:val="20"/>
        </w:rPr>
        <w:t>Officer, </w:t>
      </w:r>
      <w:r>
        <w:rPr>
          <w:color w:val="231F20"/>
          <w:w w:val="105"/>
          <w:sz w:val="20"/>
        </w:rPr>
        <w:t>whether paid as Salary or as Management</w:t>
      </w:r>
      <w:r>
        <w:rPr>
          <w:color w:val="231F20"/>
          <w:spacing w:val="-23"/>
          <w:w w:val="105"/>
          <w:sz w:val="20"/>
        </w:rPr>
        <w:t> </w:t>
      </w:r>
      <w:r>
        <w:rPr>
          <w:color w:val="231F20"/>
          <w:spacing w:val="-4"/>
          <w:w w:val="105"/>
          <w:sz w:val="20"/>
        </w:rPr>
        <w:t>Fees, </w:t>
      </w:r>
      <w:r>
        <w:rPr>
          <w:color w:val="231F20"/>
          <w:w w:val="105"/>
          <w:sz w:val="20"/>
        </w:rPr>
        <w:t>shall</w:t>
      </w:r>
      <w:r>
        <w:rPr>
          <w:color w:val="231F20"/>
          <w:spacing w:val="-12"/>
          <w:w w:val="105"/>
          <w:sz w:val="20"/>
        </w:rPr>
        <w:t> </w:t>
      </w:r>
      <w:r>
        <w:rPr>
          <w:color w:val="231F20"/>
          <w:w w:val="105"/>
          <w:sz w:val="20"/>
        </w:rPr>
        <w:t>be</w:t>
      </w:r>
      <w:r>
        <w:rPr>
          <w:color w:val="231F20"/>
          <w:spacing w:val="-12"/>
          <w:w w:val="105"/>
          <w:sz w:val="20"/>
        </w:rPr>
        <w:t> </w:t>
      </w:r>
      <w:r>
        <w:rPr>
          <w:color w:val="231F20"/>
          <w:w w:val="105"/>
          <w:sz w:val="20"/>
        </w:rPr>
        <w:t>determined</w:t>
      </w:r>
      <w:r>
        <w:rPr>
          <w:color w:val="231F20"/>
          <w:spacing w:val="-12"/>
          <w:w w:val="105"/>
          <w:sz w:val="20"/>
        </w:rPr>
        <w:t> </w:t>
      </w:r>
      <w:r>
        <w:rPr>
          <w:color w:val="231F20"/>
          <w:w w:val="105"/>
          <w:sz w:val="20"/>
        </w:rPr>
        <w:t>based</w:t>
      </w:r>
      <w:r>
        <w:rPr>
          <w:color w:val="231F20"/>
          <w:spacing w:val="-12"/>
          <w:w w:val="105"/>
          <w:sz w:val="20"/>
        </w:rPr>
        <w:t> </w:t>
      </w:r>
      <w:r>
        <w:rPr>
          <w:color w:val="231F20"/>
          <w:w w:val="105"/>
          <w:sz w:val="20"/>
        </w:rPr>
        <w:t>on</w:t>
      </w:r>
      <w:r>
        <w:rPr>
          <w:color w:val="231F20"/>
          <w:spacing w:val="-12"/>
          <w:w w:val="105"/>
          <w:sz w:val="20"/>
        </w:rPr>
        <w:t> </w:t>
      </w:r>
      <w:r>
        <w:rPr>
          <w:color w:val="231F20"/>
          <w:w w:val="105"/>
          <w:sz w:val="20"/>
        </w:rPr>
        <w:t>a</w:t>
      </w:r>
      <w:r>
        <w:rPr>
          <w:color w:val="231F20"/>
          <w:spacing w:val="-12"/>
          <w:w w:val="105"/>
          <w:sz w:val="20"/>
        </w:rPr>
        <w:t> </w:t>
      </w:r>
      <w:r>
        <w:rPr>
          <w:color w:val="231F20"/>
          <w:w w:val="105"/>
          <w:sz w:val="20"/>
        </w:rPr>
        <w:t>variety</w:t>
      </w:r>
      <w:r>
        <w:rPr>
          <w:color w:val="231F20"/>
          <w:spacing w:val="-12"/>
          <w:w w:val="105"/>
          <w:sz w:val="20"/>
        </w:rPr>
        <w:t> </w:t>
      </w:r>
      <w:r>
        <w:rPr>
          <w:color w:val="231F20"/>
          <w:w w:val="105"/>
          <w:sz w:val="20"/>
        </w:rPr>
        <w:t>of</w:t>
      </w:r>
      <w:r>
        <w:rPr>
          <w:color w:val="231F20"/>
          <w:spacing w:val="8"/>
          <w:w w:val="105"/>
          <w:sz w:val="20"/>
        </w:rPr>
        <w:t> </w:t>
      </w:r>
      <w:r>
        <w:rPr>
          <w:color w:val="231F20"/>
          <w:w w:val="105"/>
          <w:sz w:val="20"/>
        </w:rPr>
        <w:t>considerations</w:t>
      </w:r>
      <w:r>
        <w:rPr>
          <w:color w:val="231F20"/>
          <w:spacing w:val="-12"/>
          <w:w w:val="105"/>
          <w:sz w:val="20"/>
        </w:rPr>
        <w:t> </w:t>
      </w:r>
      <w:r>
        <w:rPr>
          <w:color w:val="231F20"/>
          <w:w w:val="105"/>
          <w:sz w:val="20"/>
        </w:rPr>
        <w:t>including</w:t>
      </w:r>
      <w:r>
        <w:rPr>
          <w:color w:val="231F20"/>
          <w:spacing w:val="-12"/>
          <w:w w:val="105"/>
          <w:sz w:val="20"/>
        </w:rPr>
        <w:t> </w:t>
      </w:r>
      <w:r>
        <w:rPr>
          <w:color w:val="231F20"/>
          <w:w w:val="105"/>
          <w:sz w:val="20"/>
        </w:rPr>
        <w:t>the</w:t>
      </w:r>
      <w:r>
        <w:rPr>
          <w:color w:val="231F20"/>
          <w:spacing w:val="-12"/>
          <w:w w:val="105"/>
          <w:sz w:val="20"/>
        </w:rPr>
        <w:t> </w:t>
      </w:r>
      <w:r>
        <w:rPr>
          <w:color w:val="231F20"/>
          <w:w w:val="105"/>
          <w:sz w:val="20"/>
        </w:rPr>
        <w:t>parameters</w:t>
      </w:r>
      <w:r>
        <w:rPr>
          <w:color w:val="231F20"/>
          <w:spacing w:val="-11"/>
          <w:w w:val="105"/>
          <w:sz w:val="20"/>
        </w:rPr>
        <w:t> </w:t>
      </w:r>
      <w:r>
        <w:rPr>
          <w:color w:val="231F20"/>
          <w:w w:val="105"/>
          <w:sz w:val="20"/>
        </w:rPr>
        <w:t>specified in Section 5 </w:t>
      </w:r>
      <w:r>
        <w:rPr>
          <w:color w:val="231F20"/>
          <w:spacing w:val="-4"/>
          <w:w w:val="105"/>
          <w:sz w:val="20"/>
        </w:rPr>
        <w:t>above </w:t>
      </w:r>
      <w:r>
        <w:rPr>
          <w:color w:val="231F20"/>
          <w:w w:val="105"/>
          <w:sz w:val="20"/>
        </w:rPr>
        <w:t>and including the following</w:t>
      </w:r>
      <w:r>
        <w:rPr>
          <w:color w:val="231F20"/>
          <w:spacing w:val="-25"/>
          <w:w w:val="105"/>
          <w:sz w:val="20"/>
        </w:rPr>
        <w:t> </w:t>
      </w:r>
      <w:r>
        <w:rPr>
          <w:color w:val="231F20"/>
          <w:w w:val="105"/>
          <w:sz w:val="20"/>
        </w:rPr>
        <w:t>considerations:</w:t>
      </w:r>
    </w:p>
    <w:p>
      <w:pPr>
        <w:pStyle w:val="ListParagraph"/>
        <w:numPr>
          <w:ilvl w:val="3"/>
          <w:numId w:val="4"/>
        </w:numPr>
        <w:tabs>
          <w:tab w:pos="2887" w:val="left" w:leader="none"/>
        </w:tabs>
        <w:spacing w:line="244" w:lineRule="auto" w:before="121" w:after="0"/>
        <w:ind w:left="2886" w:right="1481" w:hanging="200"/>
        <w:jc w:val="left"/>
        <w:rPr>
          <w:sz w:val="20"/>
        </w:rPr>
      </w:pPr>
      <w:r>
        <w:rPr>
          <w:b/>
          <w:color w:val="231F20"/>
          <w:w w:val="105"/>
          <w:sz w:val="20"/>
        </w:rPr>
        <w:t>Competitiveness</w:t>
      </w:r>
      <w:r>
        <w:rPr>
          <w:b/>
          <w:color w:val="231F20"/>
          <w:spacing w:val="-16"/>
          <w:w w:val="105"/>
          <w:sz w:val="20"/>
        </w:rPr>
        <w:t> </w:t>
      </w:r>
      <w:r>
        <w:rPr>
          <w:color w:val="231F20"/>
          <w:w w:val="105"/>
          <w:sz w:val="20"/>
        </w:rPr>
        <w:t>—</w:t>
      </w:r>
      <w:r>
        <w:rPr>
          <w:color w:val="231F20"/>
          <w:spacing w:val="-15"/>
          <w:w w:val="105"/>
          <w:sz w:val="20"/>
        </w:rPr>
        <w:t> </w:t>
      </w:r>
      <w:r>
        <w:rPr>
          <w:color w:val="231F20"/>
          <w:w w:val="105"/>
          <w:sz w:val="20"/>
        </w:rPr>
        <w:t>the</w:t>
      </w:r>
      <w:r>
        <w:rPr>
          <w:color w:val="231F20"/>
          <w:spacing w:val="-19"/>
          <w:w w:val="105"/>
          <w:sz w:val="20"/>
        </w:rPr>
        <w:t> </w:t>
      </w:r>
      <w:r>
        <w:rPr>
          <w:color w:val="231F20"/>
          <w:w w:val="105"/>
          <w:sz w:val="20"/>
        </w:rPr>
        <w:t>Base</w:t>
      </w:r>
      <w:r>
        <w:rPr>
          <w:color w:val="231F20"/>
          <w:spacing w:val="-18"/>
          <w:w w:val="105"/>
          <w:sz w:val="20"/>
        </w:rPr>
        <w:t> </w:t>
      </w:r>
      <w:r>
        <w:rPr>
          <w:color w:val="231F20"/>
          <w:w w:val="105"/>
          <w:sz w:val="20"/>
        </w:rPr>
        <w:t>Salary</w:t>
      </w:r>
      <w:r>
        <w:rPr>
          <w:color w:val="231F20"/>
          <w:spacing w:val="-19"/>
          <w:w w:val="105"/>
          <w:sz w:val="20"/>
        </w:rPr>
        <w:t> </w:t>
      </w:r>
      <w:r>
        <w:rPr>
          <w:color w:val="231F20"/>
          <w:w w:val="105"/>
          <w:sz w:val="20"/>
        </w:rPr>
        <w:t>of</w:t>
      </w:r>
      <w:r>
        <w:rPr>
          <w:color w:val="231F20"/>
          <w:spacing w:val="-6"/>
          <w:w w:val="105"/>
          <w:sz w:val="20"/>
        </w:rPr>
        <w:t> </w:t>
      </w:r>
      <w:r>
        <w:rPr>
          <w:color w:val="231F20"/>
          <w:w w:val="105"/>
          <w:sz w:val="20"/>
        </w:rPr>
        <w:t>Executive</w:t>
      </w:r>
      <w:r>
        <w:rPr>
          <w:color w:val="231F20"/>
          <w:spacing w:val="-18"/>
          <w:w w:val="105"/>
          <w:sz w:val="20"/>
        </w:rPr>
        <w:t> </w:t>
      </w:r>
      <w:r>
        <w:rPr>
          <w:color w:val="231F20"/>
          <w:w w:val="105"/>
          <w:sz w:val="20"/>
        </w:rPr>
        <w:t>Officers</w:t>
      </w:r>
      <w:r>
        <w:rPr>
          <w:color w:val="231F20"/>
          <w:spacing w:val="-19"/>
          <w:w w:val="105"/>
          <w:sz w:val="20"/>
        </w:rPr>
        <w:t> </w:t>
      </w:r>
      <w:r>
        <w:rPr>
          <w:color w:val="231F20"/>
          <w:w w:val="105"/>
          <w:sz w:val="20"/>
        </w:rPr>
        <w:t>will</w:t>
      </w:r>
      <w:r>
        <w:rPr>
          <w:color w:val="231F20"/>
          <w:spacing w:val="-19"/>
          <w:w w:val="105"/>
          <w:sz w:val="20"/>
        </w:rPr>
        <w:t> </w:t>
      </w:r>
      <w:r>
        <w:rPr>
          <w:color w:val="231F20"/>
          <w:w w:val="105"/>
          <w:sz w:val="20"/>
        </w:rPr>
        <w:t>be</w:t>
      </w:r>
      <w:r>
        <w:rPr>
          <w:color w:val="231F20"/>
          <w:spacing w:val="-18"/>
          <w:w w:val="105"/>
          <w:sz w:val="20"/>
        </w:rPr>
        <w:t> </w:t>
      </w:r>
      <w:r>
        <w:rPr>
          <w:color w:val="231F20"/>
          <w:spacing w:val="-3"/>
          <w:w w:val="105"/>
          <w:sz w:val="20"/>
        </w:rPr>
        <w:t>evaluated,</w:t>
      </w:r>
      <w:r>
        <w:rPr>
          <w:color w:val="231F20"/>
          <w:spacing w:val="-19"/>
          <w:w w:val="105"/>
          <w:sz w:val="20"/>
        </w:rPr>
        <w:t> </w:t>
      </w:r>
      <w:r>
        <w:rPr>
          <w:color w:val="231F20"/>
          <w:w w:val="105"/>
          <w:sz w:val="20"/>
        </w:rPr>
        <w:t>if</w:t>
      </w:r>
      <w:r>
        <w:rPr>
          <w:color w:val="231F20"/>
          <w:spacing w:val="-5"/>
          <w:w w:val="105"/>
          <w:sz w:val="20"/>
        </w:rPr>
        <w:t> </w:t>
      </w:r>
      <w:r>
        <w:rPr>
          <w:color w:val="231F20"/>
          <w:w w:val="105"/>
          <w:sz w:val="20"/>
        </w:rPr>
        <w:t>required by the Compensation Committee, by conducting external benchmarking using</w:t>
      </w:r>
      <w:r>
        <w:rPr>
          <w:color w:val="231F20"/>
          <w:spacing w:val="-8"/>
          <w:w w:val="105"/>
          <w:sz w:val="20"/>
        </w:rPr>
        <w:t> </w:t>
      </w:r>
      <w:r>
        <w:rPr>
          <w:color w:val="231F20"/>
          <w:w w:val="105"/>
          <w:sz w:val="20"/>
        </w:rPr>
        <w:t>a</w:t>
      </w:r>
    </w:p>
    <w:p>
      <w:pPr>
        <w:spacing w:after="0" w:line="244" w:lineRule="auto"/>
        <w:jc w:val="left"/>
        <w:rPr>
          <w:sz w:val="20"/>
        </w:rPr>
        <w:sectPr>
          <w:pgSz w:w="11880" w:h="15480"/>
          <w:pgMar w:header="0" w:footer="664" w:top="940" w:bottom="860" w:left="300" w:right="0"/>
        </w:sectPr>
      </w:pPr>
    </w:p>
    <w:p>
      <w:pPr>
        <w:pStyle w:val="BodyText"/>
        <w:spacing w:before="87"/>
        <w:ind w:left="2886" w:right="1477"/>
      </w:pPr>
      <w:r>
        <w:rPr>
          <w:color w:val="231F20"/>
          <w:w w:val="105"/>
        </w:rPr>
        <w:t>defined peer group, selected based on such factors, among others, as Company’s size, global footprint, nature of activities and competitors of similar talent.</w:t>
      </w:r>
    </w:p>
    <w:p>
      <w:pPr>
        <w:pStyle w:val="ListParagraph"/>
        <w:numPr>
          <w:ilvl w:val="3"/>
          <w:numId w:val="4"/>
        </w:numPr>
        <w:tabs>
          <w:tab w:pos="2887" w:val="left" w:leader="none"/>
        </w:tabs>
        <w:spacing w:line="240" w:lineRule="auto" w:before="85" w:after="0"/>
        <w:ind w:left="2886" w:right="1418" w:hanging="200"/>
        <w:jc w:val="left"/>
        <w:rPr>
          <w:sz w:val="20"/>
        </w:rPr>
      </w:pPr>
      <w:r>
        <w:rPr>
          <w:b/>
          <w:color w:val="231F20"/>
          <w:w w:val="105"/>
          <w:sz w:val="20"/>
        </w:rPr>
        <w:t>Internal</w:t>
      </w:r>
      <w:r>
        <w:rPr>
          <w:b/>
          <w:color w:val="231F20"/>
          <w:spacing w:val="-15"/>
          <w:w w:val="105"/>
          <w:sz w:val="20"/>
        </w:rPr>
        <w:t> </w:t>
      </w:r>
      <w:r>
        <w:rPr>
          <w:b/>
          <w:color w:val="231F20"/>
          <w:w w:val="105"/>
          <w:sz w:val="20"/>
        </w:rPr>
        <w:t>fairness</w:t>
      </w:r>
      <w:r>
        <w:rPr>
          <w:b/>
          <w:color w:val="231F20"/>
          <w:spacing w:val="-10"/>
          <w:w w:val="105"/>
          <w:sz w:val="20"/>
        </w:rPr>
        <w:t> </w:t>
      </w:r>
      <w:r>
        <w:rPr>
          <w:color w:val="231F20"/>
          <w:w w:val="105"/>
          <w:sz w:val="20"/>
        </w:rPr>
        <w:t>—</w:t>
      </w:r>
      <w:r>
        <w:rPr>
          <w:color w:val="231F20"/>
          <w:spacing w:val="-10"/>
          <w:w w:val="105"/>
          <w:sz w:val="20"/>
        </w:rPr>
        <w:t> </w:t>
      </w:r>
      <w:r>
        <w:rPr>
          <w:color w:val="231F20"/>
          <w:w w:val="105"/>
          <w:sz w:val="20"/>
        </w:rPr>
        <w:t>the</w:t>
      </w:r>
      <w:r>
        <w:rPr>
          <w:color w:val="231F20"/>
          <w:spacing w:val="-14"/>
          <w:w w:val="105"/>
          <w:sz w:val="20"/>
        </w:rPr>
        <w:t> </w:t>
      </w:r>
      <w:r>
        <w:rPr>
          <w:color w:val="231F20"/>
          <w:w w:val="105"/>
          <w:sz w:val="20"/>
        </w:rPr>
        <w:t>variation</w:t>
      </w:r>
      <w:r>
        <w:rPr>
          <w:color w:val="231F20"/>
          <w:spacing w:val="-14"/>
          <w:w w:val="105"/>
          <w:sz w:val="20"/>
        </w:rPr>
        <w:t> </w:t>
      </w:r>
      <w:r>
        <w:rPr>
          <w:color w:val="231F20"/>
          <w:w w:val="105"/>
          <w:sz w:val="20"/>
        </w:rPr>
        <w:t>in</w:t>
      </w:r>
      <w:r>
        <w:rPr>
          <w:color w:val="231F20"/>
          <w:spacing w:val="-14"/>
          <w:w w:val="105"/>
          <w:sz w:val="20"/>
        </w:rPr>
        <w:t> </w:t>
      </w:r>
      <w:r>
        <w:rPr>
          <w:color w:val="231F20"/>
          <w:w w:val="105"/>
          <w:sz w:val="20"/>
        </w:rPr>
        <w:t>the</w:t>
      </w:r>
      <w:r>
        <w:rPr>
          <w:color w:val="231F20"/>
          <w:spacing w:val="-14"/>
          <w:w w:val="105"/>
          <w:sz w:val="20"/>
        </w:rPr>
        <w:t> </w:t>
      </w:r>
      <w:r>
        <w:rPr>
          <w:color w:val="231F20"/>
          <w:spacing w:val="-3"/>
          <w:w w:val="105"/>
          <w:sz w:val="20"/>
        </w:rPr>
        <w:t>relative</w:t>
      </w:r>
      <w:r>
        <w:rPr>
          <w:color w:val="231F20"/>
          <w:spacing w:val="-14"/>
          <w:w w:val="105"/>
          <w:sz w:val="20"/>
        </w:rPr>
        <w:t> </w:t>
      </w:r>
      <w:r>
        <w:rPr>
          <w:color w:val="231F20"/>
          <w:w w:val="105"/>
          <w:sz w:val="20"/>
        </w:rPr>
        <w:t>Base</w:t>
      </w:r>
      <w:r>
        <w:rPr>
          <w:color w:val="231F20"/>
          <w:spacing w:val="-14"/>
          <w:w w:val="105"/>
          <w:sz w:val="20"/>
        </w:rPr>
        <w:t> </w:t>
      </w:r>
      <w:r>
        <w:rPr>
          <w:color w:val="231F20"/>
          <w:w w:val="105"/>
          <w:sz w:val="20"/>
        </w:rPr>
        <w:t>Salary</w:t>
      </w:r>
      <w:r>
        <w:rPr>
          <w:color w:val="231F20"/>
          <w:spacing w:val="-14"/>
          <w:w w:val="105"/>
          <w:sz w:val="20"/>
        </w:rPr>
        <w:t> </w:t>
      </w:r>
      <w:r>
        <w:rPr>
          <w:color w:val="231F20"/>
          <w:w w:val="105"/>
          <w:sz w:val="20"/>
        </w:rPr>
        <w:t>among</w:t>
      </w:r>
      <w:r>
        <w:rPr>
          <w:color w:val="231F20"/>
          <w:spacing w:val="-15"/>
          <w:w w:val="105"/>
          <w:sz w:val="20"/>
        </w:rPr>
        <w:t> </w:t>
      </w:r>
      <w:r>
        <w:rPr>
          <w:color w:val="231F20"/>
          <w:w w:val="105"/>
          <w:sz w:val="20"/>
        </w:rPr>
        <w:t>Executive</w:t>
      </w:r>
      <w:r>
        <w:rPr>
          <w:color w:val="231F20"/>
          <w:spacing w:val="-14"/>
          <w:w w:val="105"/>
          <w:sz w:val="20"/>
        </w:rPr>
        <w:t> </w:t>
      </w:r>
      <w:r>
        <w:rPr>
          <w:color w:val="231F20"/>
          <w:w w:val="105"/>
          <w:sz w:val="20"/>
        </w:rPr>
        <w:t>Officers should reflect the differences in position, education, scope of responsibilities,</w:t>
      </w:r>
      <w:r>
        <w:rPr>
          <w:color w:val="231F20"/>
          <w:spacing w:val="-14"/>
          <w:w w:val="105"/>
          <w:sz w:val="20"/>
        </w:rPr>
        <w:t> </w:t>
      </w:r>
      <w:r>
        <w:rPr>
          <w:color w:val="231F20"/>
          <w:w w:val="105"/>
          <w:sz w:val="20"/>
        </w:rPr>
        <w:t>location, previous experience in similar roles and contribution to attainment of the </w:t>
      </w:r>
      <w:r>
        <w:rPr>
          <w:color w:val="231F20"/>
          <w:spacing w:val="-3"/>
          <w:w w:val="105"/>
          <w:sz w:val="20"/>
        </w:rPr>
        <w:t>Company’s </w:t>
      </w:r>
      <w:r>
        <w:rPr>
          <w:color w:val="231F20"/>
          <w:spacing w:val="-4"/>
          <w:w w:val="105"/>
          <w:sz w:val="20"/>
        </w:rPr>
        <w:t>goals.</w:t>
      </w:r>
    </w:p>
    <w:p>
      <w:pPr>
        <w:pStyle w:val="ListParagraph"/>
        <w:numPr>
          <w:ilvl w:val="2"/>
          <w:numId w:val="4"/>
        </w:numPr>
        <w:tabs>
          <w:tab w:pos="2468" w:val="left" w:leader="none"/>
        </w:tabs>
        <w:spacing w:line="240" w:lineRule="auto" w:before="111" w:after="0"/>
        <w:ind w:left="2467" w:right="1533" w:hanging="579"/>
        <w:jc w:val="left"/>
        <w:rPr>
          <w:sz w:val="20"/>
        </w:rPr>
      </w:pPr>
      <w:r>
        <w:rPr>
          <w:color w:val="231F20"/>
          <w:w w:val="105"/>
          <w:sz w:val="20"/>
        </w:rPr>
        <w:t>The</w:t>
      </w:r>
      <w:r>
        <w:rPr>
          <w:color w:val="231F20"/>
          <w:spacing w:val="-8"/>
          <w:w w:val="105"/>
          <w:sz w:val="20"/>
        </w:rPr>
        <w:t> </w:t>
      </w:r>
      <w:r>
        <w:rPr>
          <w:color w:val="231F20"/>
          <w:w w:val="105"/>
          <w:sz w:val="20"/>
        </w:rPr>
        <w:t>Fixed</w:t>
      </w:r>
      <w:r>
        <w:rPr>
          <w:color w:val="231F20"/>
          <w:spacing w:val="-7"/>
          <w:w w:val="105"/>
          <w:sz w:val="20"/>
        </w:rPr>
        <w:t> </w:t>
      </w:r>
      <w:r>
        <w:rPr>
          <w:color w:val="231F20"/>
          <w:w w:val="105"/>
          <w:sz w:val="20"/>
        </w:rPr>
        <w:t>Compensation</w:t>
      </w:r>
      <w:r>
        <w:rPr>
          <w:color w:val="231F20"/>
          <w:spacing w:val="-7"/>
          <w:w w:val="105"/>
          <w:sz w:val="20"/>
        </w:rPr>
        <w:t> </w:t>
      </w:r>
      <w:r>
        <w:rPr>
          <w:color w:val="231F20"/>
          <w:w w:val="105"/>
          <w:sz w:val="20"/>
        </w:rPr>
        <w:t>of</w:t>
      </w:r>
      <w:r>
        <w:rPr>
          <w:color w:val="231F20"/>
          <w:spacing w:val="11"/>
          <w:w w:val="105"/>
          <w:sz w:val="20"/>
        </w:rPr>
        <w:t> </w:t>
      </w:r>
      <w:r>
        <w:rPr>
          <w:color w:val="231F20"/>
          <w:w w:val="105"/>
          <w:sz w:val="20"/>
        </w:rPr>
        <w:t>Executive</w:t>
      </w:r>
      <w:r>
        <w:rPr>
          <w:color w:val="231F20"/>
          <w:spacing w:val="-7"/>
          <w:w w:val="105"/>
          <w:sz w:val="20"/>
        </w:rPr>
        <w:t> </w:t>
      </w:r>
      <w:r>
        <w:rPr>
          <w:color w:val="231F20"/>
          <w:w w:val="105"/>
          <w:sz w:val="20"/>
        </w:rPr>
        <w:t>Officers</w:t>
      </w:r>
      <w:r>
        <w:rPr>
          <w:color w:val="231F20"/>
          <w:spacing w:val="-8"/>
          <w:w w:val="105"/>
          <w:sz w:val="20"/>
        </w:rPr>
        <w:t> </w:t>
      </w:r>
      <w:r>
        <w:rPr>
          <w:color w:val="231F20"/>
          <w:spacing w:val="-3"/>
          <w:w w:val="105"/>
          <w:sz w:val="20"/>
        </w:rPr>
        <w:t>may</w:t>
      </w:r>
      <w:r>
        <w:rPr>
          <w:color w:val="231F20"/>
          <w:spacing w:val="-7"/>
          <w:w w:val="105"/>
          <w:sz w:val="20"/>
        </w:rPr>
        <w:t> </w:t>
      </w:r>
      <w:r>
        <w:rPr>
          <w:color w:val="231F20"/>
          <w:w w:val="105"/>
          <w:sz w:val="20"/>
        </w:rPr>
        <w:t>include</w:t>
      </w:r>
      <w:r>
        <w:rPr>
          <w:color w:val="231F20"/>
          <w:spacing w:val="-7"/>
          <w:w w:val="105"/>
          <w:sz w:val="20"/>
        </w:rPr>
        <w:t> </w:t>
      </w:r>
      <w:r>
        <w:rPr>
          <w:color w:val="231F20"/>
          <w:w w:val="105"/>
          <w:sz w:val="20"/>
        </w:rPr>
        <w:t>Employee</w:t>
      </w:r>
      <w:r>
        <w:rPr>
          <w:color w:val="231F20"/>
          <w:spacing w:val="-7"/>
          <w:w w:val="105"/>
          <w:sz w:val="20"/>
        </w:rPr>
        <w:t> </w:t>
      </w:r>
      <w:r>
        <w:rPr>
          <w:color w:val="231F20"/>
          <w:w w:val="105"/>
          <w:sz w:val="20"/>
        </w:rPr>
        <w:t>Benefits</w:t>
      </w:r>
      <w:r>
        <w:rPr>
          <w:color w:val="231F20"/>
          <w:spacing w:val="-7"/>
          <w:w w:val="105"/>
          <w:sz w:val="20"/>
        </w:rPr>
        <w:t> </w:t>
      </w:r>
      <w:r>
        <w:rPr>
          <w:color w:val="231F20"/>
          <w:w w:val="105"/>
          <w:sz w:val="20"/>
        </w:rPr>
        <w:t>as</w:t>
      </w:r>
      <w:r>
        <w:rPr>
          <w:color w:val="231F20"/>
          <w:spacing w:val="-7"/>
          <w:w w:val="105"/>
          <w:sz w:val="20"/>
        </w:rPr>
        <w:t> </w:t>
      </w:r>
      <w:r>
        <w:rPr>
          <w:color w:val="231F20"/>
          <w:w w:val="105"/>
          <w:sz w:val="20"/>
        </w:rPr>
        <w:t>defined </w:t>
      </w:r>
      <w:r>
        <w:rPr>
          <w:color w:val="231F20"/>
          <w:spacing w:val="-5"/>
          <w:w w:val="105"/>
          <w:sz w:val="20"/>
        </w:rPr>
        <w:t>above, </w:t>
      </w:r>
      <w:r>
        <w:rPr>
          <w:color w:val="231F20"/>
          <w:spacing w:val="-3"/>
          <w:w w:val="105"/>
          <w:sz w:val="20"/>
        </w:rPr>
        <w:t>at </w:t>
      </w:r>
      <w:r>
        <w:rPr>
          <w:color w:val="231F20"/>
          <w:w w:val="105"/>
          <w:sz w:val="20"/>
        </w:rPr>
        <w:t>least in compliance with mandatory benefits under applicable</w:t>
      </w:r>
      <w:r>
        <w:rPr>
          <w:color w:val="231F20"/>
          <w:spacing w:val="-13"/>
          <w:w w:val="105"/>
          <w:sz w:val="20"/>
        </w:rPr>
        <w:t> </w:t>
      </w:r>
      <w:r>
        <w:rPr>
          <w:color w:val="231F20"/>
          <w:spacing w:val="-6"/>
          <w:w w:val="105"/>
          <w:sz w:val="20"/>
        </w:rPr>
        <w:t>laws.</w:t>
      </w:r>
    </w:p>
    <w:p>
      <w:pPr>
        <w:pStyle w:val="ListParagraph"/>
        <w:numPr>
          <w:ilvl w:val="2"/>
          <w:numId w:val="4"/>
        </w:numPr>
        <w:tabs>
          <w:tab w:pos="2468" w:val="left" w:leader="none"/>
        </w:tabs>
        <w:spacing w:line="240" w:lineRule="auto" w:before="135" w:after="0"/>
        <w:ind w:left="2467" w:right="1387" w:hanging="579"/>
        <w:jc w:val="left"/>
        <w:rPr>
          <w:sz w:val="20"/>
        </w:rPr>
      </w:pPr>
      <w:r>
        <w:rPr>
          <w:color w:val="231F20"/>
          <w:w w:val="105"/>
          <w:sz w:val="20"/>
        </w:rPr>
        <w:t>A Non-Material Amendment to the compensation components of the </w:t>
      </w:r>
      <w:r>
        <w:rPr>
          <w:color w:val="231F20"/>
          <w:spacing w:val="-3"/>
          <w:w w:val="105"/>
          <w:sz w:val="20"/>
        </w:rPr>
        <w:t>VPs, </w:t>
      </w:r>
      <w:r>
        <w:rPr>
          <w:color w:val="231F20"/>
          <w:w w:val="105"/>
          <w:sz w:val="20"/>
        </w:rPr>
        <w:t>shall require only the </w:t>
      </w:r>
      <w:r>
        <w:rPr>
          <w:color w:val="231F20"/>
          <w:spacing w:val="-4"/>
          <w:w w:val="105"/>
          <w:sz w:val="20"/>
        </w:rPr>
        <w:t>approval </w:t>
      </w:r>
      <w:r>
        <w:rPr>
          <w:color w:val="231F20"/>
          <w:w w:val="105"/>
          <w:sz w:val="20"/>
        </w:rPr>
        <w:t>of the CEO, provided that such amendments do not exceed from the restrictions and the provisions of the Compensation Policy of the Company; </w:t>
      </w:r>
      <w:r>
        <w:rPr>
          <w:color w:val="231F20"/>
          <w:spacing w:val="-3"/>
          <w:w w:val="105"/>
          <w:sz w:val="20"/>
        </w:rPr>
        <w:t>for </w:t>
      </w:r>
      <w:r>
        <w:rPr>
          <w:color w:val="231F20"/>
          <w:w w:val="105"/>
          <w:sz w:val="20"/>
        </w:rPr>
        <w:t>this </w:t>
      </w:r>
      <w:r>
        <w:rPr>
          <w:color w:val="231F20"/>
          <w:spacing w:val="-4"/>
          <w:w w:val="105"/>
          <w:sz w:val="20"/>
        </w:rPr>
        <w:t>matter, </w:t>
      </w:r>
      <w:r>
        <w:rPr>
          <w:color w:val="231F20"/>
          <w:w w:val="105"/>
          <w:sz w:val="20"/>
        </w:rPr>
        <w:t>“Non Material Amendment” shall mean, a change of up to 10% of the total cost of  </w:t>
      </w:r>
      <w:r>
        <w:rPr>
          <w:color w:val="231F20"/>
          <w:spacing w:val="-3"/>
          <w:w w:val="105"/>
          <w:sz w:val="20"/>
        </w:rPr>
        <w:t>all </w:t>
      </w:r>
      <w:r>
        <w:rPr>
          <w:color w:val="231F20"/>
          <w:w w:val="105"/>
          <w:sz w:val="20"/>
        </w:rPr>
        <w:t>of the </w:t>
      </w:r>
      <w:r>
        <w:rPr>
          <w:color w:val="231F20"/>
          <w:spacing w:val="-3"/>
          <w:w w:val="105"/>
          <w:sz w:val="20"/>
        </w:rPr>
        <w:t>officer’s </w:t>
      </w:r>
      <w:r>
        <w:rPr>
          <w:color w:val="231F20"/>
          <w:w w:val="105"/>
          <w:sz w:val="20"/>
        </w:rPr>
        <w:t>compensation components as </w:t>
      </w:r>
      <w:r>
        <w:rPr>
          <w:color w:val="231F20"/>
          <w:spacing w:val="-3"/>
          <w:w w:val="105"/>
          <w:sz w:val="20"/>
        </w:rPr>
        <w:t>approved </w:t>
      </w:r>
      <w:r>
        <w:rPr>
          <w:color w:val="231F20"/>
          <w:w w:val="105"/>
          <w:sz w:val="20"/>
        </w:rPr>
        <w:t>by the Compensation Committee and the Board. Such amendments, if preformed, shall be reported to the Compensation Committee.</w:t>
      </w:r>
    </w:p>
    <w:p>
      <w:pPr>
        <w:pStyle w:val="ListParagraph"/>
        <w:numPr>
          <w:ilvl w:val="2"/>
          <w:numId w:val="4"/>
        </w:numPr>
        <w:tabs>
          <w:tab w:pos="2468" w:val="left" w:leader="none"/>
        </w:tabs>
        <w:spacing w:line="240" w:lineRule="auto" w:before="133" w:after="0"/>
        <w:ind w:left="2467" w:right="1510" w:hanging="579"/>
        <w:jc w:val="left"/>
        <w:rPr>
          <w:sz w:val="20"/>
        </w:rPr>
      </w:pPr>
      <w:r>
        <w:rPr>
          <w:color w:val="231F20"/>
          <w:w w:val="105"/>
          <w:sz w:val="20"/>
        </w:rPr>
        <w:t>The criteria </w:t>
      </w:r>
      <w:r>
        <w:rPr>
          <w:color w:val="231F20"/>
          <w:spacing w:val="-3"/>
          <w:w w:val="105"/>
          <w:sz w:val="20"/>
        </w:rPr>
        <w:t>for </w:t>
      </w:r>
      <w:r>
        <w:rPr>
          <w:color w:val="231F20"/>
          <w:w w:val="105"/>
          <w:sz w:val="20"/>
        </w:rPr>
        <w:t>“Non Material Amendment”, as mentioned in section 7.2.3 </w:t>
      </w:r>
      <w:r>
        <w:rPr>
          <w:color w:val="231F20"/>
          <w:spacing w:val="-5"/>
          <w:w w:val="105"/>
          <w:sz w:val="20"/>
        </w:rPr>
        <w:t>above, </w:t>
      </w:r>
      <w:r>
        <w:rPr>
          <w:color w:val="231F20"/>
          <w:w w:val="105"/>
          <w:sz w:val="20"/>
        </w:rPr>
        <w:t>shall </w:t>
      </w:r>
      <w:r>
        <w:rPr>
          <w:color w:val="231F20"/>
          <w:spacing w:val="-5"/>
          <w:w w:val="105"/>
          <w:sz w:val="20"/>
        </w:rPr>
        <w:t>apply, </w:t>
      </w:r>
      <w:r>
        <w:rPr>
          <w:color w:val="231F20"/>
          <w:w w:val="105"/>
          <w:sz w:val="20"/>
        </w:rPr>
        <w:t>mutatis mutandis, </w:t>
      </w:r>
      <w:r>
        <w:rPr>
          <w:color w:val="231F20"/>
          <w:spacing w:val="-3"/>
          <w:w w:val="105"/>
          <w:sz w:val="20"/>
        </w:rPr>
        <w:t>also </w:t>
      </w:r>
      <w:r>
        <w:rPr>
          <w:color w:val="231F20"/>
          <w:w w:val="105"/>
          <w:sz w:val="20"/>
        </w:rPr>
        <w:t>in relation to a Non Material Amendment of the </w:t>
      </w:r>
      <w:r>
        <w:rPr>
          <w:color w:val="231F20"/>
          <w:spacing w:val="-4"/>
          <w:w w:val="105"/>
          <w:sz w:val="20"/>
        </w:rPr>
        <w:t>CEO’s </w:t>
      </w:r>
      <w:r>
        <w:rPr>
          <w:color w:val="231F20"/>
          <w:w w:val="105"/>
          <w:sz w:val="20"/>
        </w:rPr>
        <w:t>compensation components, in regard to the provisions of section 272(d) to the Companies </w:t>
      </w:r>
      <w:r>
        <w:rPr>
          <w:color w:val="231F20"/>
          <w:spacing w:val="-9"/>
          <w:w w:val="105"/>
          <w:sz w:val="20"/>
        </w:rPr>
        <w:t>Law.</w:t>
      </w:r>
    </w:p>
    <w:p>
      <w:pPr>
        <w:pStyle w:val="ListParagraph"/>
        <w:numPr>
          <w:ilvl w:val="0"/>
          <w:numId w:val="4"/>
        </w:numPr>
        <w:tabs>
          <w:tab w:pos="1489" w:val="left" w:leader="none"/>
          <w:tab w:pos="1490" w:val="left" w:leader="none"/>
        </w:tabs>
        <w:spacing w:line="240" w:lineRule="auto" w:before="202" w:after="0"/>
        <w:ind w:left="1489" w:right="0" w:hanging="400"/>
        <w:jc w:val="left"/>
        <w:rPr>
          <w:b/>
          <w:sz w:val="20"/>
        </w:rPr>
      </w:pPr>
      <w:r>
        <w:rPr>
          <w:b/>
          <w:color w:val="231F20"/>
          <w:sz w:val="20"/>
          <w:u w:val="single" w:color="231F20"/>
        </w:rPr>
        <w:t>Annual Cash</w:t>
      </w:r>
      <w:r>
        <w:rPr>
          <w:b/>
          <w:color w:val="231F20"/>
          <w:spacing w:val="-3"/>
          <w:sz w:val="20"/>
          <w:u w:val="single" w:color="231F20"/>
        </w:rPr>
        <w:t> </w:t>
      </w:r>
      <w:r>
        <w:rPr>
          <w:b/>
          <w:color w:val="231F20"/>
          <w:sz w:val="20"/>
          <w:u w:val="single" w:color="231F20"/>
        </w:rPr>
        <w:t>Bonus</w:t>
      </w:r>
    </w:p>
    <w:p>
      <w:pPr>
        <w:pStyle w:val="BodyText"/>
        <w:spacing w:before="169"/>
        <w:ind w:left="397" w:right="297"/>
        <w:jc w:val="center"/>
      </w:pPr>
      <w:r>
        <w:rPr>
          <w:color w:val="231F20"/>
          <w:w w:val="105"/>
        </w:rPr>
        <w:t>The cash bonuses aim to ensure that the Executive Officers are aligned in reaching the Company’s goals.</w:t>
      </w:r>
    </w:p>
    <w:p>
      <w:pPr>
        <w:pStyle w:val="ListParagraph"/>
        <w:numPr>
          <w:ilvl w:val="1"/>
          <w:numId w:val="4"/>
        </w:numPr>
        <w:tabs>
          <w:tab w:pos="1889" w:val="left" w:leader="none"/>
        </w:tabs>
        <w:spacing w:line="240" w:lineRule="auto" w:before="135" w:after="0"/>
        <w:ind w:left="1888" w:right="0" w:hanging="400"/>
        <w:jc w:val="left"/>
        <w:rPr>
          <w:sz w:val="20"/>
        </w:rPr>
      </w:pPr>
      <w:r>
        <w:rPr>
          <w:color w:val="231F20"/>
          <w:spacing w:val="-3"/>
          <w:w w:val="110"/>
          <w:sz w:val="20"/>
          <w:u w:val="single" w:color="231F20"/>
        </w:rPr>
        <w:t>Terms </w:t>
      </w:r>
      <w:r>
        <w:rPr>
          <w:color w:val="231F20"/>
          <w:w w:val="110"/>
          <w:sz w:val="20"/>
          <w:u w:val="single" w:color="231F20"/>
        </w:rPr>
        <w:t>and General</w:t>
      </w:r>
      <w:r>
        <w:rPr>
          <w:color w:val="231F20"/>
          <w:spacing w:val="-17"/>
          <w:w w:val="110"/>
          <w:sz w:val="20"/>
          <w:u w:val="single" w:color="231F20"/>
        </w:rPr>
        <w:t> </w:t>
      </w:r>
      <w:r>
        <w:rPr>
          <w:color w:val="231F20"/>
          <w:w w:val="110"/>
          <w:sz w:val="20"/>
          <w:u w:val="single" w:color="231F20"/>
        </w:rPr>
        <w:t>Conditions</w:t>
      </w:r>
    </w:p>
    <w:p>
      <w:pPr>
        <w:pStyle w:val="BodyText"/>
        <w:spacing w:before="136"/>
        <w:ind w:left="1888" w:right="1374"/>
      </w:pPr>
      <w:r>
        <w:rPr>
          <w:color w:val="231F20"/>
          <w:w w:val="105"/>
        </w:rPr>
        <w:t>Executive Officers may be entitled to a cash bonus in accordance with an Annual Bonus Plan (the “</w:t>
      </w:r>
      <w:r>
        <w:rPr>
          <w:b/>
          <w:color w:val="231F20"/>
          <w:w w:val="105"/>
        </w:rPr>
        <w:t>Annual Bonus Plan</w:t>
      </w:r>
      <w:r>
        <w:rPr>
          <w:color w:val="231F20"/>
          <w:w w:val="105"/>
        </w:rPr>
        <w:t>”). The Annual Bonus Plan is aimed to create an alignment between the compensation of the Executive Officers and the Company’s annual and long term goals while focusing, inter alia, on individual goals that will be defined for each of the Executive Officers. The Annual Bonus Plan may include rules for eligibility in case the Executive Officer serves for only part of the relevant year.</w:t>
      </w:r>
    </w:p>
    <w:p>
      <w:pPr>
        <w:pStyle w:val="BodyText"/>
        <w:spacing w:before="133"/>
        <w:ind w:left="1888" w:right="1472"/>
      </w:pPr>
      <w:r>
        <w:rPr>
          <w:color w:val="231F20"/>
          <w:w w:val="105"/>
        </w:rPr>
        <w:t>The Compensation Committee and the Board shall </w:t>
      </w:r>
      <w:r>
        <w:rPr>
          <w:color w:val="231F20"/>
          <w:spacing w:val="-5"/>
          <w:w w:val="105"/>
        </w:rPr>
        <w:t>have </w:t>
      </w:r>
      <w:r>
        <w:rPr>
          <w:color w:val="231F20"/>
          <w:w w:val="105"/>
        </w:rPr>
        <w:t>the full discretion to determine the amount of the bonus </w:t>
      </w:r>
      <w:r>
        <w:rPr>
          <w:color w:val="231F20"/>
          <w:spacing w:val="-3"/>
          <w:w w:val="105"/>
        </w:rPr>
        <w:t>payout, </w:t>
      </w:r>
      <w:r>
        <w:rPr>
          <w:color w:val="231F20"/>
          <w:w w:val="105"/>
        </w:rPr>
        <w:t>if </w:t>
      </w:r>
      <w:r>
        <w:rPr>
          <w:color w:val="231F20"/>
          <w:spacing w:val="-7"/>
          <w:w w:val="105"/>
        </w:rPr>
        <w:t>any, </w:t>
      </w:r>
      <w:r>
        <w:rPr>
          <w:color w:val="231F20"/>
          <w:w w:val="105"/>
        </w:rPr>
        <w:t>of </w:t>
      </w:r>
      <w:r>
        <w:rPr>
          <w:color w:val="231F20"/>
          <w:spacing w:val="-3"/>
          <w:w w:val="105"/>
        </w:rPr>
        <w:t>any </w:t>
      </w:r>
      <w:r>
        <w:rPr>
          <w:color w:val="231F20"/>
          <w:w w:val="105"/>
        </w:rPr>
        <w:t>and </w:t>
      </w:r>
      <w:r>
        <w:rPr>
          <w:color w:val="231F20"/>
          <w:spacing w:val="-3"/>
          <w:w w:val="105"/>
        </w:rPr>
        <w:t>all </w:t>
      </w:r>
      <w:r>
        <w:rPr>
          <w:color w:val="231F20"/>
          <w:w w:val="105"/>
        </w:rPr>
        <w:t>Executive Officer(s) in </w:t>
      </w:r>
      <w:r>
        <w:rPr>
          <w:color w:val="231F20"/>
          <w:spacing w:val="-3"/>
          <w:w w:val="105"/>
        </w:rPr>
        <w:t>any </w:t>
      </w:r>
      <w:r>
        <w:rPr>
          <w:color w:val="231F20"/>
          <w:w w:val="105"/>
        </w:rPr>
        <w:t>given </w:t>
      </w:r>
      <w:r>
        <w:rPr>
          <w:color w:val="231F20"/>
          <w:spacing w:val="-5"/>
          <w:w w:val="105"/>
        </w:rPr>
        <w:t>year, </w:t>
      </w:r>
      <w:r>
        <w:rPr>
          <w:color w:val="231F20"/>
          <w:w w:val="105"/>
        </w:rPr>
        <w:t>up to the Maximum Amounts set forth </w:t>
      </w:r>
      <w:r>
        <w:rPr>
          <w:color w:val="231F20"/>
          <w:spacing w:val="-5"/>
          <w:w w:val="105"/>
        </w:rPr>
        <w:t>below, </w:t>
      </w:r>
      <w:r>
        <w:rPr>
          <w:color w:val="231F20"/>
          <w:w w:val="105"/>
        </w:rPr>
        <w:t>and </w:t>
      </w:r>
      <w:r>
        <w:rPr>
          <w:color w:val="231F20"/>
          <w:spacing w:val="-3"/>
          <w:w w:val="105"/>
        </w:rPr>
        <w:t>may also </w:t>
      </w:r>
      <w:r>
        <w:rPr>
          <w:color w:val="231F20"/>
          <w:w w:val="105"/>
        </w:rPr>
        <w:t>reduce such </w:t>
      </w:r>
      <w:r>
        <w:rPr>
          <w:color w:val="231F20"/>
          <w:spacing w:val="-3"/>
          <w:w w:val="105"/>
        </w:rPr>
        <w:t>bonuses. </w:t>
      </w:r>
      <w:r>
        <w:rPr>
          <w:color w:val="231F20"/>
          <w:spacing w:val="-6"/>
          <w:w w:val="105"/>
        </w:rPr>
        <w:t>For </w:t>
      </w:r>
      <w:r>
        <w:rPr>
          <w:color w:val="231F20"/>
          <w:spacing w:val="-3"/>
          <w:w w:val="105"/>
        </w:rPr>
        <w:t>avoidance </w:t>
      </w:r>
      <w:r>
        <w:rPr>
          <w:color w:val="231F20"/>
          <w:w w:val="105"/>
        </w:rPr>
        <w:t>of doubt,  the actual grant of bonuses shall be </w:t>
      </w:r>
      <w:r>
        <w:rPr>
          <w:color w:val="231F20"/>
          <w:spacing w:val="-3"/>
          <w:w w:val="105"/>
        </w:rPr>
        <w:t>approved </w:t>
      </w:r>
      <w:r>
        <w:rPr>
          <w:color w:val="231F20"/>
          <w:w w:val="105"/>
        </w:rPr>
        <w:t>pursuant to applicable </w:t>
      </w:r>
      <w:r>
        <w:rPr>
          <w:color w:val="231F20"/>
          <w:spacing w:val="-9"/>
          <w:w w:val="105"/>
        </w:rPr>
        <w:t>law.</w:t>
      </w:r>
    </w:p>
    <w:p>
      <w:pPr>
        <w:pStyle w:val="BodyText"/>
        <w:spacing w:before="134"/>
        <w:ind w:left="1888" w:right="1642"/>
      </w:pPr>
      <w:r>
        <w:rPr>
          <w:color w:val="231F20"/>
          <w:w w:val="105"/>
        </w:rPr>
        <w:t>Annual bonus payout to Executive Officers may be calculated by using financial metrics and/or measurable key performance indicators (“</w:t>
      </w:r>
      <w:r>
        <w:rPr>
          <w:b/>
          <w:color w:val="231F20"/>
          <w:w w:val="105"/>
        </w:rPr>
        <w:t>KPI</w:t>
      </w:r>
      <w:r>
        <w:rPr>
          <w:color w:val="231F20"/>
          <w:w w:val="105"/>
        </w:rPr>
        <w:t>”), as pre-determined by the Compensation Committee and the Board in the Annual Bonus Plan, and/or qualitative evaluation, as follows:</w:t>
      </w:r>
    </w:p>
    <w:p>
      <w:pPr>
        <w:tabs>
          <w:tab w:pos="8963" w:val="left" w:leader="none"/>
        </w:tabs>
        <w:spacing w:line="223" w:lineRule="auto" w:before="169"/>
        <w:ind w:left="6920" w:right="0" w:firstLine="0"/>
        <w:jc w:val="left"/>
        <w:rPr>
          <w:b/>
          <w:sz w:val="16"/>
        </w:rPr>
      </w:pPr>
      <w:r>
        <w:rPr/>
        <w:pict>
          <v:line style="position:absolute;mso-position-horizontal-relative:page;mso-position-vertical-relative:paragraph;z-index:15735808" from="330.329987pt,19.981323pt" to="446.847987pt,19.981323pt" stroked="true" strokeweight=".499pt" strokecolor="#231f20">
            <v:stroke dashstyle="solid"/>
            <w10:wrap type="none"/>
          </v:line>
        </w:pict>
      </w:r>
      <w:r>
        <w:rPr>
          <w:b/>
          <w:color w:val="231F20"/>
          <w:sz w:val="16"/>
        </w:rPr>
        <w:t>Measurable</w:t>
      </w:r>
      <w:r>
        <w:rPr>
          <w:b/>
          <w:color w:val="231F20"/>
          <w:spacing w:val="-8"/>
          <w:sz w:val="16"/>
        </w:rPr>
        <w:t> </w:t>
      </w:r>
      <w:r>
        <w:rPr>
          <w:b/>
          <w:color w:val="231F20"/>
          <w:sz w:val="16"/>
        </w:rPr>
        <w:t>KPI</w:t>
        <w:tab/>
      </w:r>
      <w:r>
        <w:rPr>
          <w:b/>
          <w:color w:val="231F20"/>
          <w:position w:val="-8"/>
          <w:sz w:val="16"/>
        </w:rPr>
        <w:t>Qualitative</w:t>
      </w:r>
    </w:p>
    <w:p>
      <w:pPr>
        <w:spacing w:after="0" w:line="223" w:lineRule="auto"/>
        <w:jc w:val="left"/>
        <w:rPr>
          <w:sz w:val="16"/>
        </w:rPr>
        <w:sectPr>
          <w:pgSz w:w="11880" w:h="15480"/>
          <w:pgMar w:header="0" w:footer="664" w:top="940" w:bottom="860" w:left="300" w:right="0"/>
        </w:sectPr>
      </w:pPr>
    </w:p>
    <w:p>
      <w:pPr>
        <w:spacing w:before="3"/>
        <w:ind w:left="0" w:right="38" w:firstLine="0"/>
        <w:jc w:val="right"/>
        <w:rPr>
          <w:b/>
          <w:sz w:val="16"/>
        </w:rPr>
      </w:pPr>
      <w:r>
        <w:rPr>
          <w:b/>
          <w:color w:val="231F20"/>
          <w:w w:val="90"/>
          <w:sz w:val="16"/>
        </w:rPr>
        <w:t>Group</w:t>
      </w:r>
    </w:p>
    <w:p>
      <w:pPr>
        <w:tabs>
          <w:tab w:pos="3033" w:val="left" w:leader="none"/>
        </w:tabs>
        <w:spacing w:before="3"/>
        <w:ind w:left="1489" w:right="0" w:firstLine="0"/>
        <w:jc w:val="left"/>
        <w:rPr>
          <w:b/>
          <w:sz w:val="16"/>
        </w:rPr>
      </w:pPr>
      <w:r>
        <w:rPr/>
        <w:br w:type="column"/>
      </w:r>
      <w:r>
        <w:rPr>
          <w:b/>
          <w:color w:val="231F20"/>
          <w:sz w:val="16"/>
        </w:rPr>
        <w:t>Group</w:t>
      </w:r>
      <w:r>
        <w:rPr>
          <w:b/>
          <w:color w:val="231F20"/>
          <w:spacing w:val="-17"/>
          <w:sz w:val="16"/>
        </w:rPr>
        <w:t> </w:t>
      </w:r>
      <w:r>
        <w:rPr>
          <w:b/>
          <w:color w:val="231F20"/>
          <w:sz w:val="16"/>
        </w:rPr>
        <w:t>/</w:t>
      </w:r>
      <w:r>
        <w:rPr>
          <w:b/>
          <w:color w:val="231F20"/>
          <w:spacing w:val="-17"/>
          <w:sz w:val="16"/>
        </w:rPr>
        <w:t> </w:t>
      </w:r>
      <w:r>
        <w:rPr>
          <w:b/>
          <w:color w:val="231F20"/>
          <w:sz w:val="16"/>
        </w:rPr>
        <w:t>Company</w:t>
        <w:tab/>
      </w:r>
      <w:r>
        <w:rPr>
          <w:b/>
          <w:color w:val="231F20"/>
          <w:spacing w:val="-3"/>
          <w:w w:val="95"/>
          <w:sz w:val="16"/>
        </w:rPr>
        <w:t>Individual</w:t>
      </w:r>
    </w:p>
    <w:p>
      <w:pPr>
        <w:spacing w:before="3"/>
        <w:ind w:left="428" w:right="0" w:firstLine="0"/>
        <w:jc w:val="left"/>
        <w:rPr>
          <w:b/>
          <w:sz w:val="16"/>
        </w:rPr>
      </w:pPr>
      <w:r>
        <w:rPr/>
        <w:br w:type="column"/>
      </w:r>
      <w:r>
        <w:rPr>
          <w:b/>
          <w:color w:val="231F20"/>
          <w:sz w:val="16"/>
        </w:rPr>
        <w:t>Evaluation</w:t>
      </w:r>
    </w:p>
    <w:p>
      <w:pPr>
        <w:spacing w:after="0"/>
        <w:jc w:val="left"/>
        <w:rPr>
          <w:sz w:val="16"/>
        </w:rPr>
        <w:sectPr>
          <w:type w:val="continuous"/>
          <w:pgSz w:w="11880" w:h="15480"/>
          <w:pgMar w:top="700" w:bottom="280" w:left="300" w:right="0"/>
          <w:cols w:num="3" w:equalWidth="0">
            <w:col w:w="1949" w:space="2868"/>
            <w:col w:w="3692" w:space="40"/>
            <w:col w:w="3031"/>
          </w:cols>
        </w:sectPr>
      </w:pPr>
    </w:p>
    <w:p>
      <w:pPr>
        <w:pStyle w:val="BodyText"/>
        <w:spacing w:before="11"/>
        <w:rPr>
          <w:b/>
          <w:sz w:val="3"/>
        </w:rPr>
      </w:pPr>
    </w:p>
    <w:p>
      <w:pPr>
        <w:tabs>
          <w:tab w:pos="6301" w:val="left" w:leader="none"/>
          <w:tab w:pos="7717" w:val="left" w:leader="none"/>
          <w:tab w:pos="8871" w:val="left" w:leader="none"/>
        </w:tabs>
        <w:spacing w:line="20" w:lineRule="exact"/>
        <w:ind w:left="1484" w:right="0" w:firstLine="0"/>
        <w:rPr>
          <w:sz w:val="2"/>
        </w:rPr>
      </w:pPr>
      <w:r>
        <w:rPr>
          <w:sz w:val="2"/>
        </w:rPr>
        <w:pict>
          <v:group style="width:228.9pt;height:.5pt;mso-position-horizontal-relative:char;mso-position-vertical-relative:line" coordorigin="0,0" coordsize="4578,10">
            <v:line style="position:absolute" from="0,5" to="4578,5" stroked="true" strokeweight=".499pt" strokecolor="#231f20">
              <v:stroke dashstyle="solid"/>
            </v:line>
          </v:group>
        </w:pict>
      </w:r>
      <w:r>
        <w:rPr>
          <w:sz w:val="2"/>
        </w:rPr>
      </w:r>
      <w:r>
        <w:rPr>
          <w:sz w:val="2"/>
        </w:rPr>
        <w:tab/>
      </w:r>
      <w:r>
        <w:rPr>
          <w:sz w:val="2"/>
        </w:rPr>
        <w:pict>
          <v:group style="width:58.85pt;height:.5pt;mso-position-horizontal-relative:char;mso-position-vertical-relative:line" coordorigin="0,0" coordsize="1177,10">
            <v:line style="position:absolute" from="0,5" to="1176,5" stroked="true" strokeweight=".499pt" strokecolor="#231f20">
              <v:stroke dashstyle="solid"/>
            </v:line>
          </v:group>
        </w:pict>
      </w:r>
      <w:r>
        <w:rPr>
          <w:sz w:val="2"/>
        </w:rPr>
      </w:r>
      <w:r>
        <w:rPr>
          <w:sz w:val="2"/>
        </w:rPr>
        <w:tab/>
      </w:r>
      <w:r>
        <w:rPr>
          <w:sz w:val="2"/>
        </w:rPr>
        <w:pict>
          <v:group style="width:45.75pt;height:.5pt;mso-position-horizontal-relative:char;mso-position-vertical-relative:line" coordorigin="0,0" coordsize="915,10">
            <v:line style="position:absolute" from="0,5" to="914,5" stroked="true" strokeweight=".499pt" strokecolor="#231f20">
              <v:stroke dashstyle="solid"/>
            </v:line>
          </v:group>
        </w:pict>
      </w:r>
      <w:r>
        <w:rPr>
          <w:sz w:val="2"/>
        </w:rPr>
      </w:r>
      <w:r>
        <w:rPr>
          <w:sz w:val="2"/>
        </w:rPr>
        <w:tab/>
      </w:r>
      <w:r>
        <w:rPr>
          <w:sz w:val="2"/>
        </w:rPr>
        <w:pict>
          <v:group style="width:45.75pt;height:.5pt;mso-position-horizontal-relative:char;mso-position-vertical-relative:line" coordorigin="0,0" coordsize="915,10">
            <v:line style="position:absolute" from="0,5" to="914,5" stroked="true" strokeweight=".499pt" strokecolor="#231f20">
              <v:stroke dashstyle="solid"/>
            </v:line>
          </v:group>
        </w:pict>
      </w:r>
      <w:r>
        <w:rPr>
          <w:sz w:val="2"/>
        </w:rPr>
      </w:r>
    </w:p>
    <w:p>
      <w:pPr>
        <w:pStyle w:val="BodyText"/>
        <w:tabs>
          <w:tab w:pos="4888" w:val="left" w:leader="none"/>
          <w:tab w:pos="7387" w:val="left" w:leader="none"/>
        </w:tabs>
        <w:spacing w:before="23"/>
        <w:ind w:right="297"/>
        <w:jc w:val="center"/>
      </w:pPr>
      <w:r>
        <w:rPr>
          <w:color w:val="231F20"/>
          <w:w w:val="110"/>
        </w:rPr>
        <w:t>CEO </w:t>
      </w:r>
      <w:r>
        <w:rPr>
          <w:color w:val="231F20"/>
          <w:spacing w:val="28"/>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7"/>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7"/>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spacing w:val="15"/>
          <w:w w:val="110"/>
        </w:rPr>
        <w:t>.</w:t>
      </w:r>
      <w:r>
        <w:rPr>
          <w:color w:val="231F20"/>
          <w:spacing w:val="-6"/>
          <w:w w:val="110"/>
        </w:rPr>
        <w:t> </w:t>
      </w:r>
      <w:r>
        <w:rPr>
          <w:color w:val="231F20"/>
          <w:w w:val="110"/>
        </w:rPr>
        <w:t>.</w:t>
        <w:tab/>
        <w:t>80%</w:t>
      </w:r>
      <w:r>
        <w:rPr>
          <w:color w:val="231F20"/>
          <w:spacing w:val="-25"/>
          <w:w w:val="110"/>
        </w:rPr>
        <w:t> </w:t>
      </w:r>
      <w:r>
        <w:rPr>
          <w:color w:val="231F20"/>
          <w:w w:val="110"/>
        </w:rPr>
        <w:t>–</w:t>
      </w:r>
      <w:r>
        <w:rPr>
          <w:color w:val="231F20"/>
          <w:spacing w:val="-26"/>
          <w:w w:val="110"/>
        </w:rPr>
        <w:t> </w:t>
      </w:r>
      <w:r>
        <w:rPr>
          <w:color w:val="231F20"/>
          <w:w w:val="110"/>
        </w:rPr>
        <w:t>100%</w:t>
        <w:tab/>
        <w:t>Up to</w:t>
      </w:r>
      <w:r>
        <w:rPr>
          <w:color w:val="231F20"/>
          <w:spacing w:val="-40"/>
          <w:w w:val="110"/>
        </w:rPr>
        <w:t> </w:t>
      </w:r>
      <w:r>
        <w:rPr>
          <w:color w:val="231F20"/>
          <w:w w:val="110"/>
        </w:rPr>
        <w:t>20%</w:t>
      </w:r>
    </w:p>
    <w:p>
      <w:pPr>
        <w:pStyle w:val="BodyText"/>
        <w:tabs>
          <w:tab w:pos="4898" w:val="left" w:leader="none"/>
          <w:tab w:pos="6233" w:val="left" w:leader="none"/>
          <w:tab w:pos="7387" w:val="left" w:leader="none"/>
        </w:tabs>
        <w:spacing w:before="69"/>
        <w:ind w:right="297"/>
        <w:jc w:val="center"/>
      </w:pPr>
      <w:r>
        <w:rPr>
          <w:color w:val="231F20"/>
          <w:w w:val="110"/>
        </w:rPr>
        <w:t>VPs</w:t>
      </w:r>
      <w:r>
        <w:rPr>
          <w:color w:val="231F20"/>
          <w:spacing w:val="53"/>
          <w:w w:val="110"/>
        </w:rPr>
        <w:t> </w:t>
      </w:r>
      <w:r>
        <w:rPr>
          <w:color w:val="231F20"/>
          <w:spacing w:val="15"/>
          <w:w w:val="110"/>
        </w:rPr>
        <w:t>.</w:t>
      </w:r>
      <w:r>
        <w:rPr>
          <w:color w:val="231F20"/>
          <w:spacing w:val="-6"/>
          <w:w w:val="110"/>
        </w:rPr>
        <w:t> </w:t>
      </w:r>
      <w:r>
        <w:rPr>
          <w:color w:val="231F20"/>
          <w:spacing w:val="15"/>
          <w:w w:val="110"/>
        </w:rPr>
        <w:t>.</w:t>
      </w:r>
      <w:r>
        <w:rPr>
          <w:color w:val="231F20"/>
          <w:spacing w:val="-7"/>
          <w:w w:val="110"/>
        </w:rPr>
        <w:t> </w:t>
      </w:r>
      <w:r>
        <w:rPr>
          <w:color w:val="231F20"/>
          <w:spacing w:val="15"/>
          <w:w w:val="110"/>
        </w:rPr>
        <w:t>.</w:t>
      </w:r>
      <w:r>
        <w:rPr>
          <w:color w:val="231F20"/>
          <w:spacing w:val="-6"/>
          <w:w w:val="110"/>
        </w:rPr>
        <w:t> </w:t>
      </w:r>
      <w:r>
        <w:rPr>
          <w:color w:val="231F20"/>
          <w:spacing w:val="15"/>
          <w:w w:val="110"/>
        </w:rPr>
        <w:t>.</w:t>
      </w:r>
      <w:r>
        <w:rPr>
          <w:color w:val="231F20"/>
          <w:spacing w:val="-7"/>
          <w:w w:val="110"/>
        </w:rPr>
        <w:t> </w:t>
      </w:r>
      <w:r>
        <w:rPr>
          <w:color w:val="231F20"/>
          <w:spacing w:val="15"/>
          <w:w w:val="110"/>
        </w:rPr>
        <w:t>.</w:t>
      </w:r>
      <w:r>
        <w:rPr>
          <w:color w:val="231F20"/>
          <w:spacing w:val="-6"/>
          <w:w w:val="110"/>
        </w:rPr>
        <w:t> </w:t>
      </w:r>
      <w:r>
        <w:rPr>
          <w:color w:val="231F20"/>
          <w:spacing w:val="15"/>
          <w:w w:val="110"/>
        </w:rPr>
        <w:t>.</w:t>
      </w:r>
      <w:r>
        <w:rPr>
          <w:color w:val="231F20"/>
          <w:spacing w:val="-7"/>
          <w:w w:val="110"/>
        </w:rPr>
        <w:t> </w:t>
      </w:r>
      <w:r>
        <w:rPr>
          <w:color w:val="231F20"/>
          <w:spacing w:val="15"/>
          <w:w w:val="110"/>
        </w:rPr>
        <w:t>.</w:t>
      </w:r>
      <w:r>
        <w:rPr>
          <w:color w:val="231F20"/>
          <w:spacing w:val="-6"/>
          <w:w w:val="110"/>
        </w:rPr>
        <w:t> </w:t>
      </w:r>
      <w:r>
        <w:rPr>
          <w:color w:val="231F20"/>
          <w:spacing w:val="15"/>
          <w:w w:val="110"/>
        </w:rPr>
        <w:t>.</w:t>
      </w:r>
      <w:r>
        <w:rPr>
          <w:color w:val="231F20"/>
          <w:spacing w:val="-7"/>
          <w:w w:val="110"/>
        </w:rPr>
        <w:t> </w:t>
      </w:r>
      <w:r>
        <w:rPr>
          <w:color w:val="231F20"/>
          <w:spacing w:val="15"/>
          <w:w w:val="110"/>
        </w:rPr>
        <w:t>.</w:t>
      </w:r>
      <w:r>
        <w:rPr>
          <w:color w:val="231F20"/>
          <w:spacing w:val="-6"/>
          <w:w w:val="110"/>
        </w:rPr>
        <w:t> </w:t>
      </w:r>
      <w:r>
        <w:rPr>
          <w:color w:val="231F20"/>
          <w:spacing w:val="15"/>
          <w:w w:val="110"/>
        </w:rPr>
        <w:t>.</w:t>
      </w:r>
      <w:r>
        <w:rPr>
          <w:color w:val="231F20"/>
          <w:spacing w:val="-7"/>
          <w:w w:val="110"/>
        </w:rPr>
        <w:t> </w:t>
      </w:r>
      <w:r>
        <w:rPr>
          <w:color w:val="231F20"/>
          <w:spacing w:val="15"/>
          <w:w w:val="110"/>
        </w:rPr>
        <w:t>.</w:t>
      </w:r>
      <w:r>
        <w:rPr>
          <w:color w:val="231F20"/>
          <w:spacing w:val="-6"/>
          <w:w w:val="110"/>
        </w:rPr>
        <w:t> </w:t>
      </w:r>
      <w:r>
        <w:rPr>
          <w:color w:val="231F20"/>
          <w:spacing w:val="15"/>
          <w:w w:val="110"/>
        </w:rPr>
        <w:t>.</w:t>
      </w:r>
      <w:r>
        <w:rPr>
          <w:color w:val="231F20"/>
          <w:spacing w:val="-7"/>
          <w:w w:val="110"/>
        </w:rPr>
        <w:t> </w:t>
      </w:r>
      <w:r>
        <w:rPr>
          <w:color w:val="231F20"/>
          <w:spacing w:val="15"/>
          <w:w w:val="110"/>
        </w:rPr>
        <w:t>.</w:t>
      </w:r>
      <w:r>
        <w:rPr>
          <w:color w:val="231F20"/>
          <w:spacing w:val="-6"/>
          <w:w w:val="110"/>
        </w:rPr>
        <w:t> </w:t>
      </w:r>
      <w:r>
        <w:rPr>
          <w:color w:val="231F20"/>
          <w:spacing w:val="15"/>
          <w:w w:val="110"/>
        </w:rPr>
        <w:t>.</w:t>
      </w:r>
      <w:r>
        <w:rPr>
          <w:color w:val="231F20"/>
          <w:spacing w:val="-7"/>
          <w:w w:val="110"/>
        </w:rPr>
        <w:t> </w:t>
      </w:r>
      <w:r>
        <w:rPr>
          <w:color w:val="231F20"/>
          <w:spacing w:val="15"/>
          <w:w w:val="110"/>
        </w:rPr>
        <w:t>.</w:t>
      </w:r>
      <w:r>
        <w:rPr>
          <w:color w:val="231F20"/>
          <w:spacing w:val="-7"/>
          <w:w w:val="110"/>
        </w:rPr>
        <w:t> </w:t>
      </w:r>
      <w:r>
        <w:rPr>
          <w:color w:val="231F20"/>
          <w:spacing w:val="15"/>
          <w:w w:val="110"/>
        </w:rPr>
        <w:t>.</w:t>
      </w:r>
      <w:r>
        <w:rPr>
          <w:color w:val="231F20"/>
          <w:spacing w:val="-6"/>
          <w:w w:val="110"/>
        </w:rPr>
        <w:t> </w:t>
      </w:r>
      <w:r>
        <w:rPr>
          <w:color w:val="231F20"/>
          <w:spacing w:val="15"/>
          <w:w w:val="110"/>
        </w:rPr>
        <w:t>.</w:t>
      </w:r>
      <w:r>
        <w:rPr>
          <w:color w:val="231F20"/>
          <w:spacing w:val="-7"/>
          <w:w w:val="110"/>
        </w:rPr>
        <w:t> </w:t>
      </w:r>
      <w:r>
        <w:rPr>
          <w:color w:val="231F20"/>
          <w:spacing w:val="15"/>
          <w:w w:val="110"/>
        </w:rPr>
        <w:t>.</w:t>
      </w:r>
      <w:r>
        <w:rPr>
          <w:color w:val="231F20"/>
          <w:spacing w:val="-6"/>
          <w:w w:val="110"/>
        </w:rPr>
        <w:t> </w:t>
      </w:r>
      <w:r>
        <w:rPr>
          <w:color w:val="231F20"/>
          <w:spacing w:val="15"/>
          <w:w w:val="110"/>
        </w:rPr>
        <w:t>.</w:t>
      </w:r>
      <w:r>
        <w:rPr>
          <w:color w:val="231F20"/>
          <w:spacing w:val="-7"/>
          <w:w w:val="110"/>
        </w:rPr>
        <w:t> </w:t>
      </w:r>
      <w:r>
        <w:rPr>
          <w:color w:val="231F20"/>
          <w:spacing w:val="15"/>
          <w:w w:val="110"/>
        </w:rPr>
        <w:t>.</w:t>
      </w:r>
      <w:r>
        <w:rPr>
          <w:color w:val="231F20"/>
          <w:spacing w:val="-6"/>
          <w:w w:val="110"/>
        </w:rPr>
        <w:t> </w:t>
      </w:r>
      <w:r>
        <w:rPr>
          <w:color w:val="231F20"/>
          <w:spacing w:val="15"/>
          <w:w w:val="110"/>
        </w:rPr>
        <w:t>.</w:t>
      </w:r>
      <w:r>
        <w:rPr>
          <w:color w:val="231F20"/>
          <w:spacing w:val="-7"/>
          <w:w w:val="110"/>
        </w:rPr>
        <w:t> </w:t>
      </w:r>
      <w:r>
        <w:rPr>
          <w:color w:val="231F20"/>
          <w:spacing w:val="15"/>
          <w:w w:val="110"/>
        </w:rPr>
        <w:t>.</w:t>
      </w:r>
      <w:r>
        <w:rPr>
          <w:color w:val="231F20"/>
          <w:spacing w:val="-6"/>
          <w:w w:val="110"/>
        </w:rPr>
        <w:t> </w:t>
      </w:r>
      <w:r>
        <w:rPr>
          <w:color w:val="231F20"/>
          <w:spacing w:val="15"/>
          <w:w w:val="110"/>
        </w:rPr>
        <w:t>.</w:t>
      </w:r>
      <w:r>
        <w:rPr>
          <w:color w:val="231F20"/>
          <w:spacing w:val="-7"/>
          <w:w w:val="110"/>
        </w:rPr>
        <w:t> </w:t>
      </w:r>
      <w:r>
        <w:rPr>
          <w:color w:val="231F20"/>
          <w:spacing w:val="15"/>
          <w:w w:val="110"/>
        </w:rPr>
        <w:t>.</w:t>
      </w:r>
      <w:r>
        <w:rPr>
          <w:color w:val="231F20"/>
          <w:spacing w:val="-6"/>
          <w:w w:val="110"/>
        </w:rPr>
        <w:t> </w:t>
      </w:r>
      <w:r>
        <w:rPr>
          <w:color w:val="231F20"/>
          <w:spacing w:val="15"/>
          <w:w w:val="110"/>
        </w:rPr>
        <w:t>.</w:t>
      </w:r>
      <w:r>
        <w:rPr>
          <w:color w:val="231F20"/>
          <w:spacing w:val="-7"/>
          <w:w w:val="110"/>
        </w:rPr>
        <w:t> </w:t>
      </w:r>
      <w:r>
        <w:rPr>
          <w:color w:val="231F20"/>
          <w:spacing w:val="15"/>
          <w:w w:val="110"/>
        </w:rPr>
        <w:t>.</w:t>
      </w:r>
      <w:r>
        <w:rPr>
          <w:color w:val="231F20"/>
          <w:spacing w:val="-6"/>
          <w:w w:val="110"/>
        </w:rPr>
        <w:t> </w:t>
      </w:r>
      <w:r>
        <w:rPr>
          <w:color w:val="231F20"/>
          <w:spacing w:val="15"/>
          <w:w w:val="110"/>
        </w:rPr>
        <w:t>.</w:t>
      </w:r>
      <w:r>
        <w:rPr>
          <w:color w:val="231F20"/>
          <w:spacing w:val="-7"/>
          <w:w w:val="110"/>
        </w:rPr>
        <w:t> </w:t>
      </w:r>
      <w:r>
        <w:rPr>
          <w:color w:val="231F20"/>
          <w:spacing w:val="15"/>
          <w:w w:val="110"/>
        </w:rPr>
        <w:t>.</w:t>
      </w:r>
      <w:r>
        <w:rPr>
          <w:color w:val="231F20"/>
          <w:spacing w:val="-6"/>
          <w:w w:val="110"/>
        </w:rPr>
        <w:t> </w:t>
      </w:r>
      <w:r>
        <w:rPr>
          <w:color w:val="231F20"/>
          <w:spacing w:val="15"/>
          <w:w w:val="110"/>
        </w:rPr>
        <w:t>.</w:t>
      </w:r>
      <w:r>
        <w:rPr>
          <w:color w:val="231F20"/>
          <w:spacing w:val="-7"/>
          <w:w w:val="110"/>
        </w:rPr>
        <w:t> </w:t>
      </w:r>
      <w:r>
        <w:rPr>
          <w:color w:val="231F20"/>
          <w:spacing w:val="15"/>
          <w:w w:val="110"/>
        </w:rPr>
        <w:t>.</w:t>
      </w:r>
      <w:r>
        <w:rPr>
          <w:color w:val="231F20"/>
          <w:spacing w:val="-6"/>
          <w:w w:val="110"/>
        </w:rPr>
        <w:t> </w:t>
      </w:r>
      <w:r>
        <w:rPr>
          <w:color w:val="231F20"/>
          <w:spacing w:val="15"/>
          <w:w w:val="110"/>
        </w:rPr>
        <w:t>.</w:t>
      </w:r>
      <w:r>
        <w:rPr>
          <w:color w:val="231F20"/>
          <w:spacing w:val="-7"/>
          <w:w w:val="110"/>
        </w:rPr>
        <w:t> </w:t>
      </w:r>
      <w:r>
        <w:rPr>
          <w:color w:val="231F20"/>
          <w:spacing w:val="15"/>
          <w:w w:val="110"/>
        </w:rPr>
        <w:t>.</w:t>
      </w:r>
      <w:r>
        <w:rPr>
          <w:color w:val="231F20"/>
          <w:spacing w:val="-6"/>
          <w:w w:val="110"/>
        </w:rPr>
        <w:t> </w:t>
      </w:r>
      <w:r>
        <w:rPr>
          <w:color w:val="231F20"/>
          <w:spacing w:val="15"/>
          <w:w w:val="110"/>
        </w:rPr>
        <w:t>.</w:t>
      </w:r>
      <w:r>
        <w:rPr>
          <w:color w:val="231F20"/>
          <w:spacing w:val="-7"/>
          <w:w w:val="110"/>
        </w:rPr>
        <w:t> </w:t>
      </w:r>
      <w:r>
        <w:rPr>
          <w:color w:val="231F20"/>
          <w:spacing w:val="15"/>
          <w:w w:val="110"/>
        </w:rPr>
        <w:t>.</w:t>
      </w:r>
      <w:r>
        <w:rPr>
          <w:color w:val="231F20"/>
          <w:spacing w:val="-6"/>
          <w:w w:val="110"/>
        </w:rPr>
        <w:t> </w:t>
      </w:r>
      <w:r>
        <w:rPr>
          <w:color w:val="231F20"/>
          <w:w w:val="110"/>
        </w:rPr>
        <w:t>.</w:t>
        <w:tab/>
        <w:t>Up</w:t>
      </w:r>
      <w:r>
        <w:rPr>
          <w:color w:val="231F20"/>
          <w:spacing w:val="-15"/>
          <w:w w:val="110"/>
        </w:rPr>
        <w:t> </w:t>
      </w:r>
      <w:r>
        <w:rPr>
          <w:color w:val="231F20"/>
          <w:w w:val="110"/>
        </w:rPr>
        <w:t>to</w:t>
      </w:r>
      <w:r>
        <w:rPr>
          <w:color w:val="231F20"/>
          <w:spacing w:val="-15"/>
          <w:w w:val="110"/>
        </w:rPr>
        <w:t> </w:t>
      </w:r>
      <w:r>
        <w:rPr>
          <w:color w:val="231F20"/>
          <w:w w:val="110"/>
        </w:rPr>
        <w:t>100%</w:t>
        <w:tab/>
        <w:t>Up</w:t>
      </w:r>
      <w:r>
        <w:rPr>
          <w:color w:val="231F20"/>
          <w:spacing w:val="-13"/>
          <w:w w:val="110"/>
        </w:rPr>
        <w:t> </w:t>
      </w:r>
      <w:r>
        <w:rPr>
          <w:color w:val="231F20"/>
          <w:w w:val="110"/>
        </w:rPr>
        <w:t>to</w:t>
      </w:r>
      <w:r>
        <w:rPr>
          <w:color w:val="231F20"/>
          <w:spacing w:val="-12"/>
          <w:w w:val="110"/>
        </w:rPr>
        <w:t> </w:t>
      </w:r>
      <w:r>
        <w:rPr>
          <w:color w:val="231F20"/>
          <w:w w:val="110"/>
        </w:rPr>
        <w:t>60%</w:t>
        <w:tab/>
        <w:t>Up to</w:t>
      </w:r>
      <w:r>
        <w:rPr>
          <w:color w:val="231F20"/>
          <w:spacing w:val="-41"/>
          <w:w w:val="110"/>
        </w:rPr>
        <w:t> </w:t>
      </w:r>
      <w:r>
        <w:rPr>
          <w:color w:val="231F20"/>
          <w:w w:val="110"/>
        </w:rPr>
        <w:t>20%</w:t>
      </w:r>
    </w:p>
    <w:p>
      <w:pPr>
        <w:pStyle w:val="ListParagraph"/>
        <w:numPr>
          <w:ilvl w:val="1"/>
          <w:numId w:val="4"/>
        </w:numPr>
        <w:tabs>
          <w:tab w:pos="1889" w:val="left" w:leader="none"/>
        </w:tabs>
        <w:spacing w:line="240" w:lineRule="auto" w:before="195" w:after="0"/>
        <w:ind w:left="1888" w:right="0" w:hanging="400"/>
        <w:jc w:val="left"/>
        <w:rPr>
          <w:sz w:val="20"/>
        </w:rPr>
      </w:pPr>
      <w:r>
        <w:rPr>
          <w:color w:val="231F20"/>
          <w:w w:val="105"/>
          <w:sz w:val="20"/>
          <w:u w:val="single" w:color="231F20"/>
        </w:rPr>
        <w:t>Maximum Amount of the </w:t>
      </w:r>
      <w:r>
        <w:rPr>
          <w:color w:val="231F20"/>
          <w:spacing w:val="-3"/>
          <w:w w:val="105"/>
          <w:sz w:val="20"/>
          <w:u w:val="single" w:color="231F20"/>
        </w:rPr>
        <w:t>Annual </w:t>
      </w:r>
      <w:r>
        <w:rPr>
          <w:color w:val="231F20"/>
          <w:w w:val="105"/>
          <w:sz w:val="20"/>
          <w:u w:val="single" w:color="231F20"/>
        </w:rPr>
        <w:t>Cash</w:t>
      </w:r>
      <w:r>
        <w:rPr>
          <w:color w:val="231F20"/>
          <w:spacing w:val="4"/>
          <w:w w:val="105"/>
          <w:sz w:val="20"/>
          <w:u w:val="single" w:color="231F20"/>
        </w:rPr>
        <w:t> </w:t>
      </w:r>
      <w:r>
        <w:rPr>
          <w:color w:val="231F20"/>
          <w:w w:val="105"/>
          <w:sz w:val="20"/>
          <w:u w:val="single" w:color="231F20"/>
        </w:rPr>
        <w:t>Bonus</w:t>
      </w:r>
    </w:p>
    <w:p>
      <w:pPr>
        <w:pStyle w:val="BodyText"/>
        <w:spacing w:before="136"/>
        <w:ind w:left="1888" w:right="1322"/>
      </w:pPr>
      <w:r>
        <w:rPr>
          <w:color w:val="231F20"/>
          <w:w w:val="105"/>
        </w:rPr>
        <w:t>The maximum amount of the Annual Cash Bonus for each of the following Executive Officers, shall be as follow:</w:t>
      </w:r>
    </w:p>
    <w:p>
      <w:pPr>
        <w:pStyle w:val="ListParagraph"/>
        <w:numPr>
          <w:ilvl w:val="0"/>
          <w:numId w:val="7"/>
        </w:numPr>
        <w:tabs>
          <w:tab w:pos="2088" w:val="left" w:leader="none"/>
        </w:tabs>
        <w:spacing w:line="240" w:lineRule="auto" w:before="101" w:after="0"/>
        <w:ind w:left="2087" w:right="0" w:hanging="200"/>
        <w:jc w:val="left"/>
        <w:rPr>
          <w:sz w:val="20"/>
        </w:rPr>
      </w:pPr>
      <w:r>
        <w:rPr>
          <w:color w:val="231F20"/>
          <w:w w:val="105"/>
          <w:sz w:val="20"/>
        </w:rPr>
        <w:t>CEO — Up to twelve (12) times of his or her Base</w:t>
      </w:r>
      <w:r>
        <w:rPr>
          <w:color w:val="231F20"/>
          <w:spacing w:val="-15"/>
          <w:w w:val="105"/>
          <w:sz w:val="20"/>
        </w:rPr>
        <w:t> </w:t>
      </w:r>
      <w:r>
        <w:rPr>
          <w:color w:val="231F20"/>
          <w:spacing w:val="-5"/>
          <w:w w:val="105"/>
          <w:sz w:val="20"/>
        </w:rPr>
        <w:t>Salary.</w:t>
      </w:r>
    </w:p>
    <w:p>
      <w:pPr>
        <w:pStyle w:val="ListParagraph"/>
        <w:numPr>
          <w:ilvl w:val="0"/>
          <w:numId w:val="7"/>
        </w:numPr>
        <w:tabs>
          <w:tab w:pos="2088" w:val="left" w:leader="none"/>
        </w:tabs>
        <w:spacing w:line="240" w:lineRule="auto" w:before="85" w:after="0"/>
        <w:ind w:left="2087" w:right="0" w:hanging="200"/>
        <w:jc w:val="left"/>
        <w:rPr>
          <w:sz w:val="20"/>
        </w:rPr>
      </w:pPr>
      <w:r>
        <w:rPr>
          <w:color w:val="231F20"/>
          <w:w w:val="105"/>
          <w:sz w:val="20"/>
        </w:rPr>
        <w:t>VP — Up to six (6) times of such </w:t>
      </w:r>
      <w:r>
        <w:rPr>
          <w:color w:val="231F20"/>
          <w:spacing w:val="-5"/>
          <w:w w:val="105"/>
          <w:sz w:val="20"/>
        </w:rPr>
        <w:t>VP’s </w:t>
      </w:r>
      <w:r>
        <w:rPr>
          <w:color w:val="231F20"/>
          <w:w w:val="105"/>
          <w:sz w:val="20"/>
        </w:rPr>
        <w:t>Base</w:t>
      </w:r>
      <w:r>
        <w:rPr>
          <w:color w:val="231F20"/>
          <w:spacing w:val="-9"/>
          <w:w w:val="105"/>
          <w:sz w:val="20"/>
        </w:rPr>
        <w:t> </w:t>
      </w:r>
      <w:r>
        <w:rPr>
          <w:color w:val="231F20"/>
          <w:spacing w:val="-5"/>
          <w:w w:val="105"/>
          <w:sz w:val="20"/>
        </w:rPr>
        <w:t>Salary.</w:t>
      </w:r>
    </w:p>
    <w:p>
      <w:pPr>
        <w:pStyle w:val="ListParagraph"/>
        <w:numPr>
          <w:ilvl w:val="1"/>
          <w:numId w:val="4"/>
        </w:numPr>
        <w:tabs>
          <w:tab w:pos="1889" w:val="left" w:leader="none"/>
        </w:tabs>
        <w:spacing w:line="240" w:lineRule="auto" w:before="112" w:after="0"/>
        <w:ind w:left="1888" w:right="0" w:hanging="400"/>
        <w:jc w:val="left"/>
        <w:rPr>
          <w:sz w:val="20"/>
        </w:rPr>
      </w:pPr>
      <w:r>
        <w:rPr>
          <w:color w:val="231F20"/>
          <w:w w:val="110"/>
          <w:sz w:val="20"/>
          <w:u w:val="single" w:color="231F20"/>
        </w:rPr>
        <w:t>KPIs:</w:t>
      </w:r>
    </w:p>
    <w:p>
      <w:pPr>
        <w:pStyle w:val="ListParagraph"/>
        <w:numPr>
          <w:ilvl w:val="2"/>
          <w:numId w:val="4"/>
        </w:numPr>
        <w:tabs>
          <w:tab w:pos="2468" w:val="left" w:leader="none"/>
        </w:tabs>
        <w:spacing w:line="240" w:lineRule="auto" w:before="135" w:after="0"/>
        <w:ind w:left="2467" w:right="1498" w:hanging="579"/>
        <w:jc w:val="left"/>
        <w:rPr>
          <w:sz w:val="20"/>
        </w:rPr>
      </w:pPr>
      <w:r>
        <w:rPr>
          <w:color w:val="231F20"/>
          <w:w w:val="105"/>
          <w:sz w:val="20"/>
        </w:rPr>
        <w:t>Hereunder is the general list of some, but not </w:t>
      </w:r>
      <w:r>
        <w:rPr>
          <w:color w:val="231F20"/>
          <w:spacing w:val="-3"/>
          <w:w w:val="105"/>
          <w:sz w:val="20"/>
        </w:rPr>
        <w:t>all </w:t>
      </w:r>
      <w:r>
        <w:rPr>
          <w:color w:val="231F20"/>
          <w:w w:val="105"/>
          <w:sz w:val="20"/>
        </w:rPr>
        <w:t>of the eligible KPIs </w:t>
      </w:r>
      <w:r>
        <w:rPr>
          <w:color w:val="231F20"/>
          <w:spacing w:val="-3"/>
          <w:w w:val="105"/>
          <w:sz w:val="20"/>
        </w:rPr>
        <w:t>for </w:t>
      </w:r>
      <w:r>
        <w:rPr>
          <w:color w:val="231F20"/>
          <w:w w:val="105"/>
          <w:sz w:val="20"/>
        </w:rPr>
        <w:t>the </w:t>
      </w:r>
      <w:r>
        <w:rPr>
          <w:color w:val="231F20"/>
          <w:spacing w:val="-3"/>
          <w:w w:val="105"/>
          <w:sz w:val="20"/>
        </w:rPr>
        <w:t>Annual </w:t>
      </w:r>
      <w:r>
        <w:rPr>
          <w:color w:val="231F20"/>
          <w:w w:val="105"/>
          <w:sz w:val="20"/>
        </w:rPr>
        <w:t>Bonus Plan </w:t>
      </w:r>
      <w:r>
        <w:rPr>
          <w:color w:val="231F20"/>
          <w:spacing w:val="-3"/>
          <w:w w:val="105"/>
          <w:sz w:val="20"/>
        </w:rPr>
        <w:t>for </w:t>
      </w:r>
      <w:r>
        <w:rPr>
          <w:color w:val="231F20"/>
          <w:w w:val="105"/>
          <w:sz w:val="20"/>
        </w:rPr>
        <w:t>the</w:t>
      </w:r>
      <w:r>
        <w:rPr>
          <w:color w:val="231F20"/>
          <w:spacing w:val="-8"/>
          <w:w w:val="105"/>
          <w:sz w:val="20"/>
        </w:rPr>
        <w:t> </w:t>
      </w:r>
      <w:r>
        <w:rPr>
          <w:color w:val="231F20"/>
          <w:spacing w:val="-4"/>
          <w:w w:val="105"/>
          <w:sz w:val="20"/>
        </w:rPr>
        <w:t>VP’s:</w:t>
      </w:r>
    </w:p>
    <w:p>
      <w:pPr>
        <w:spacing w:after="0" w:line="240" w:lineRule="auto"/>
        <w:jc w:val="left"/>
        <w:rPr>
          <w:sz w:val="20"/>
        </w:rPr>
        <w:sectPr>
          <w:type w:val="continuous"/>
          <w:pgSz w:w="11880" w:h="15480"/>
          <w:pgMar w:top="700" w:bottom="280" w:left="300" w:right="0"/>
        </w:sectPr>
      </w:pPr>
    </w:p>
    <w:p>
      <w:pPr>
        <w:tabs>
          <w:tab w:pos="3455" w:val="left" w:leader="none"/>
          <w:tab w:pos="7386" w:val="left" w:leader="none"/>
        </w:tabs>
        <w:spacing w:before="85"/>
        <w:ind w:left="1888" w:right="0" w:firstLine="0"/>
        <w:jc w:val="left"/>
        <w:rPr>
          <w:b/>
          <w:sz w:val="16"/>
        </w:rPr>
      </w:pPr>
      <w:r>
        <w:rPr/>
        <w:pict>
          <v:line style="position:absolute;mso-position-horizontal-relative:page;mso-position-vertical-relative:paragraph;z-index:15737344" from="169.285004pt,15.959023pt" to="265.073004pt,15.959023pt" stroked="true" strokeweight=".499pt" strokecolor="#231f20">
            <v:stroke dashstyle="solid"/>
            <w10:wrap type="none"/>
          </v:line>
        </w:pict>
      </w:r>
      <w:r>
        <w:rPr>
          <w:b/>
          <w:color w:val="231F20"/>
          <w:sz w:val="16"/>
        </w:rPr>
        <w:t>Group</w:t>
        <w:tab/>
        <w:t>Group</w:t>
      </w:r>
      <w:r>
        <w:rPr>
          <w:b/>
          <w:color w:val="231F20"/>
          <w:spacing w:val="-17"/>
          <w:sz w:val="16"/>
        </w:rPr>
        <w:t> </w:t>
      </w:r>
      <w:r>
        <w:rPr>
          <w:b/>
          <w:color w:val="231F20"/>
          <w:sz w:val="16"/>
        </w:rPr>
        <w:t>\</w:t>
      </w:r>
      <w:r>
        <w:rPr>
          <w:b/>
          <w:color w:val="231F20"/>
          <w:spacing w:val="-17"/>
          <w:sz w:val="16"/>
        </w:rPr>
        <w:t> </w:t>
      </w:r>
      <w:r>
        <w:rPr>
          <w:b/>
          <w:color w:val="231F20"/>
          <w:sz w:val="16"/>
        </w:rPr>
        <w:t>Company</w:t>
        <w:tab/>
        <w:t>Individual</w:t>
      </w:r>
    </w:p>
    <w:p>
      <w:pPr>
        <w:spacing w:after="0"/>
        <w:jc w:val="left"/>
        <w:rPr>
          <w:sz w:val="16"/>
        </w:rPr>
        <w:sectPr>
          <w:pgSz w:w="11880" w:h="15480"/>
          <w:pgMar w:header="0" w:footer="664" w:top="940" w:bottom="860" w:left="300" w:right="0"/>
        </w:sectPr>
      </w:pPr>
    </w:p>
    <w:p>
      <w:pPr>
        <w:pStyle w:val="BodyText"/>
        <w:spacing w:before="10"/>
        <w:rPr>
          <w:b/>
          <w:sz w:val="3"/>
        </w:rPr>
      </w:pPr>
    </w:p>
    <w:p>
      <w:pPr>
        <w:pStyle w:val="BodyText"/>
        <w:spacing w:line="20" w:lineRule="exact"/>
        <w:ind w:left="1883"/>
        <w:rPr>
          <w:sz w:val="2"/>
        </w:rPr>
      </w:pPr>
      <w:r>
        <w:rPr>
          <w:sz w:val="2"/>
        </w:rPr>
        <w:pict>
          <v:group style="width:47.9pt;height:.5pt;mso-position-horizontal-relative:char;mso-position-vertical-relative:line" coordorigin="0,0" coordsize="958,10">
            <v:line style="position:absolute" from="0,5" to="958,5" stroked="true" strokeweight=".499pt" strokecolor="#231f20">
              <v:stroke dashstyle="solid"/>
            </v:line>
          </v:group>
        </w:pict>
      </w:r>
      <w:r>
        <w:rPr>
          <w:sz w:val="2"/>
        </w:rPr>
      </w:r>
    </w:p>
    <w:p>
      <w:pPr>
        <w:pStyle w:val="BodyText"/>
        <w:tabs>
          <w:tab w:pos="3139" w:val="left" w:leader="none"/>
        </w:tabs>
        <w:spacing w:before="23"/>
        <w:ind w:left="1888"/>
      </w:pPr>
      <w:r>
        <w:rPr>
          <w:color w:val="231F20"/>
          <w:w w:val="105"/>
        </w:rPr>
        <w:t>VPs</w:t>
        <w:tab/>
        <w:t>— Budget</w:t>
      </w:r>
      <w:r>
        <w:rPr>
          <w:color w:val="231F20"/>
          <w:spacing w:val="-3"/>
          <w:w w:val="105"/>
        </w:rPr>
        <w:t> </w:t>
      </w:r>
      <w:r>
        <w:rPr>
          <w:color w:val="231F20"/>
          <w:w w:val="105"/>
        </w:rPr>
        <w:t>targets</w:t>
      </w:r>
    </w:p>
    <w:p>
      <w:pPr>
        <w:pStyle w:val="ListParagraph"/>
        <w:numPr>
          <w:ilvl w:val="0"/>
          <w:numId w:val="8"/>
        </w:numPr>
        <w:tabs>
          <w:tab w:pos="3394" w:val="left" w:leader="none"/>
        </w:tabs>
        <w:spacing w:line="240" w:lineRule="auto" w:before="129" w:after="0"/>
        <w:ind w:left="3393" w:right="0" w:hanging="255"/>
        <w:jc w:val="left"/>
        <w:rPr>
          <w:sz w:val="20"/>
        </w:rPr>
      </w:pPr>
      <w:r>
        <w:rPr>
          <w:color w:val="231F20"/>
          <w:w w:val="105"/>
          <w:sz w:val="20"/>
        </w:rPr>
        <w:t>Capital</w:t>
      </w:r>
      <w:r>
        <w:rPr>
          <w:color w:val="231F20"/>
          <w:spacing w:val="-4"/>
          <w:w w:val="105"/>
          <w:sz w:val="20"/>
        </w:rPr>
        <w:t> </w:t>
      </w:r>
      <w:r>
        <w:rPr>
          <w:color w:val="231F20"/>
          <w:w w:val="105"/>
          <w:sz w:val="20"/>
        </w:rPr>
        <w:t>raise</w:t>
      </w:r>
    </w:p>
    <w:p>
      <w:pPr>
        <w:pStyle w:val="ListParagraph"/>
        <w:numPr>
          <w:ilvl w:val="0"/>
          <w:numId w:val="8"/>
        </w:numPr>
        <w:tabs>
          <w:tab w:pos="3394" w:val="left" w:leader="none"/>
        </w:tabs>
        <w:spacing w:line="240" w:lineRule="auto" w:before="130" w:after="0"/>
        <w:ind w:left="3393" w:right="0" w:hanging="255"/>
        <w:jc w:val="left"/>
        <w:rPr>
          <w:sz w:val="20"/>
        </w:rPr>
      </w:pPr>
      <w:r>
        <w:rPr>
          <w:color w:val="231F20"/>
          <w:w w:val="105"/>
          <w:sz w:val="20"/>
        </w:rPr>
        <w:t>Cash flow</w:t>
      </w:r>
      <w:r>
        <w:rPr>
          <w:color w:val="231F20"/>
          <w:spacing w:val="5"/>
          <w:w w:val="105"/>
          <w:sz w:val="20"/>
        </w:rPr>
        <w:t> </w:t>
      </w:r>
      <w:r>
        <w:rPr>
          <w:color w:val="231F20"/>
          <w:spacing w:val="-4"/>
          <w:w w:val="105"/>
          <w:sz w:val="20"/>
        </w:rPr>
        <w:t>targets</w:t>
      </w:r>
    </w:p>
    <w:p>
      <w:pPr>
        <w:pStyle w:val="ListParagraph"/>
        <w:numPr>
          <w:ilvl w:val="0"/>
          <w:numId w:val="8"/>
        </w:numPr>
        <w:tabs>
          <w:tab w:pos="3394" w:val="left" w:leader="none"/>
        </w:tabs>
        <w:spacing w:line="240" w:lineRule="auto" w:before="129" w:after="0"/>
        <w:ind w:left="3393" w:right="0" w:hanging="255"/>
        <w:jc w:val="left"/>
        <w:rPr>
          <w:sz w:val="20"/>
        </w:rPr>
      </w:pPr>
      <w:r>
        <w:rPr>
          <w:color w:val="231F20"/>
          <w:w w:val="110"/>
          <w:sz w:val="20"/>
        </w:rPr>
        <w:t>Profit</w:t>
      </w:r>
      <w:r>
        <w:rPr>
          <w:color w:val="231F20"/>
          <w:spacing w:val="-10"/>
          <w:w w:val="110"/>
          <w:sz w:val="20"/>
        </w:rPr>
        <w:t> </w:t>
      </w:r>
      <w:r>
        <w:rPr>
          <w:color w:val="231F20"/>
          <w:w w:val="110"/>
          <w:sz w:val="20"/>
        </w:rPr>
        <w:t>targets</w:t>
      </w:r>
    </w:p>
    <w:p>
      <w:pPr>
        <w:pStyle w:val="BodyText"/>
        <w:spacing w:before="10"/>
        <w:rPr>
          <w:sz w:val="3"/>
        </w:rPr>
      </w:pPr>
      <w:r>
        <w:rPr/>
        <w:br w:type="column"/>
      </w:r>
      <w:r>
        <w:rPr>
          <w:sz w:val="3"/>
        </w:rPr>
      </w:r>
    </w:p>
    <w:p>
      <w:pPr>
        <w:pStyle w:val="BodyText"/>
        <w:spacing w:line="20" w:lineRule="exact"/>
        <w:ind w:left="334"/>
        <w:rPr>
          <w:sz w:val="2"/>
        </w:rPr>
      </w:pPr>
      <w:r>
        <w:rPr>
          <w:sz w:val="2"/>
        </w:rPr>
        <w:pict>
          <v:group style="width:247.5pt;height:.5pt;mso-position-horizontal-relative:char;mso-position-vertical-relative:line" coordorigin="0,0" coordsize="4950,10">
            <v:line style="position:absolute" from="0,5" to="4949,5" stroked="true" strokeweight=".499pt" strokecolor="#231f20">
              <v:stroke dashstyle="solid"/>
            </v:line>
          </v:group>
        </w:pict>
      </w:r>
      <w:r>
        <w:rPr>
          <w:sz w:val="2"/>
        </w:rPr>
      </w:r>
    </w:p>
    <w:p>
      <w:pPr>
        <w:pStyle w:val="ListParagraph"/>
        <w:numPr>
          <w:ilvl w:val="0"/>
          <w:numId w:val="9"/>
        </w:numPr>
        <w:tabs>
          <w:tab w:pos="647" w:val="left" w:leader="none"/>
        </w:tabs>
        <w:spacing w:line="240" w:lineRule="auto" w:before="23" w:after="0"/>
        <w:ind w:left="646" w:right="0" w:hanging="254"/>
        <w:jc w:val="left"/>
        <w:rPr>
          <w:sz w:val="20"/>
        </w:rPr>
      </w:pPr>
      <w:r>
        <w:rPr>
          <w:color w:val="231F20"/>
          <w:w w:val="105"/>
          <w:sz w:val="20"/>
        </w:rPr>
        <w:t>Number of</w:t>
      </w:r>
      <w:r>
        <w:rPr>
          <w:color w:val="231F20"/>
          <w:spacing w:val="13"/>
          <w:w w:val="105"/>
          <w:sz w:val="20"/>
        </w:rPr>
        <w:t> </w:t>
      </w:r>
      <w:r>
        <w:rPr>
          <w:color w:val="231F20"/>
          <w:w w:val="105"/>
          <w:sz w:val="20"/>
        </w:rPr>
        <w:t>patients\subscribers</w:t>
      </w:r>
    </w:p>
    <w:p>
      <w:pPr>
        <w:pStyle w:val="ListParagraph"/>
        <w:numPr>
          <w:ilvl w:val="0"/>
          <w:numId w:val="9"/>
        </w:numPr>
        <w:tabs>
          <w:tab w:pos="647" w:val="left" w:leader="none"/>
        </w:tabs>
        <w:spacing w:line="240" w:lineRule="auto" w:before="129" w:after="0"/>
        <w:ind w:left="646" w:right="0" w:hanging="254"/>
        <w:jc w:val="left"/>
        <w:rPr>
          <w:sz w:val="20"/>
        </w:rPr>
      </w:pPr>
      <w:r>
        <w:rPr>
          <w:color w:val="231F20"/>
          <w:w w:val="105"/>
          <w:sz w:val="20"/>
        </w:rPr>
        <w:t>Meet objectives of product</w:t>
      </w:r>
      <w:r>
        <w:rPr>
          <w:color w:val="231F20"/>
          <w:spacing w:val="5"/>
          <w:w w:val="105"/>
          <w:sz w:val="20"/>
        </w:rPr>
        <w:t> </w:t>
      </w:r>
      <w:r>
        <w:rPr>
          <w:color w:val="231F20"/>
          <w:w w:val="105"/>
          <w:sz w:val="20"/>
        </w:rPr>
        <w:t>development</w:t>
      </w:r>
    </w:p>
    <w:p>
      <w:pPr>
        <w:pStyle w:val="ListParagraph"/>
        <w:numPr>
          <w:ilvl w:val="0"/>
          <w:numId w:val="9"/>
        </w:numPr>
        <w:tabs>
          <w:tab w:pos="647" w:val="left" w:leader="none"/>
        </w:tabs>
        <w:spacing w:line="240" w:lineRule="auto" w:before="130" w:after="0"/>
        <w:ind w:left="646" w:right="0" w:hanging="254"/>
        <w:jc w:val="left"/>
        <w:rPr>
          <w:sz w:val="20"/>
        </w:rPr>
      </w:pPr>
      <w:r>
        <w:rPr>
          <w:color w:val="231F20"/>
          <w:w w:val="105"/>
          <w:sz w:val="20"/>
        </w:rPr>
        <w:t>Gain new</w:t>
      </w:r>
      <w:r>
        <w:rPr>
          <w:color w:val="231F20"/>
          <w:spacing w:val="-8"/>
          <w:w w:val="105"/>
          <w:sz w:val="20"/>
        </w:rPr>
        <w:t> </w:t>
      </w:r>
      <w:r>
        <w:rPr>
          <w:color w:val="231F20"/>
          <w:w w:val="105"/>
          <w:sz w:val="20"/>
        </w:rPr>
        <w:t>business</w:t>
      </w:r>
    </w:p>
    <w:p>
      <w:pPr>
        <w:pStyle w:val="ListParagraph"/>
        <w:numPr>
          <w:ilvl w:val="0"/>
          <w:numId w:val="9"/>
        </w:numPr>
        <w:tabs>
          <w:tab w:pos="647" w:val="left" w:leader="none"/>
        </w:tabs>
        <w:spacing w:line="249" w:lineRule="auto" w:before="129" w:after="0"/>
        <w:ind w:left="339" w:right="2627" w:firstLine="54"/>
        <w:jc w:val="left"/>
        <w:rPr>
          <w:sz w:val="20"/>
        </w:rPr>
      </w:pPr>
      <w:r>
        <w:rPr>
          <w:color w:val="231F20"/>
          <w:spacing w:val="-6"/>
          <w:w w:val="105"/>
          <w:sz w:val="20"/>
        </w:rPr>
        <w:t>For </w:t>
      </w:r>
      <w:r>
        <w:rPr>
          <w:color w:val="231F20"/>
          <w:w w:val="105"/>
          <w:sz w:val="20"/>
        </w:rPr>
        <w:t>creating new strategic &amp;</w:t>
      </w:r>
      <w:r>
        <w:rPr>
          <w:color w:val="231F20"/>
          <w:spacing w:val="-27"/>
          <w:w w:val="105"/>
          <w:sz w:val="20"/>
        </w:rPr>
        <w:t> </w:t>
      </w:r>
      <w:r>
        <w:rPr>
          <w:color w:val="231F20"/>
          <w:w w:val="105"/>
          <w:sz w:val="20"/>
        </w:rPr>
        <w:t>commercial collaborations.</w:t>
      </w:r>
    </w:p>
    <w:p>
      <w:pPr>
        <w:pStyle w:val="ListParagraph"/>
        <w:numPr>
          <w:ilvl w:val="0"/>
          <w:numId w:val="9"/>
        </w:numPr>
        <w:tabs>
          <w:tab w:pos="647" w:val="left" w:leader="none"/>
        </w:tabs>
        <w:spacing w:line="249" w:lineRule="auto" w:before="120" w:after="0"/>
        <w:ind w:left="339" w:right="1629" w:firstLine="54"/>
        <w:jc w:val="left"/>
        <w:rPr>
          <w:sz w:val="20"/>
        </w:rPr>
      </w:pPr>
      <w:r>
        <w:rPr>
          <w:color w:val="231F20"/>
          <w:w w:val="105"/>
          <w:sz w:val="20"/>
        </w:rPr>
        <w:t>Sales targets, including by geographical areas</w:t>
      </w:r>
      <w:r>
        <w:rPr>
          <w:color w:val="231F20"/>
          <w:spacing w:val="-36"/>
          <w:w w:val="105"/>
          <w:sz w:val="20"/>
        </w:rPr>
        <w:t> </w:t>
      </w:r>
      <w:r>
        <w:rPr>
          <w:color w:val="231F20"/>
          <w:w w:val="105"/>
          <w:sz w:val="20"/>
        </w:rPr>
        <w:t>and\or from new</w:t>
      </w:r>
      <w:r>
        <w:rPr>
          <w:color w:val="231F20"/>
          <w:spacing w:val="-7"/>
          <w:w w:val="105"/>
          <w:sz w:val="20"/>
        </w:rPr>
        <w:t> </w:t>
      </w:r>
      <w:r>
        <w:rPr>
          <w:color w:val="231F20"/>
          <w:w w:val="105"/>
          <w:sz w:val="20"/>
        </w:rPr>
        <w:t>products</w:t>
      </w:r>
    </w:p>
    <w:p>
      <w:pPr>
        <w:pStyle w:val="ListParagraph"/>
        <w:numPr>
          <w:ilvl w:val="0"/>
          <w:numId w:val="9"/>
        </w:numPr>
        <w:tabs>
          <w:tab w:pos="647" w:val="left" w:leader="none"/>
        </w:tabs>
        <w:spacing w:line="240" w:lineRule="auto" w:before="121" w:after="0"/>
        <w:ind w:left="646" w:right="0" w:hanging="254"/>
        <w:jc w:val="left"/>
        <w:rPr>
          <w:sz w:val="20"/>
        </w:rPr>
      </w:pPr>
      <w:r>
        <w:rPr>
          <w:color w:val="231F20"/>
          <w:w w:val="110"/>
          <w:sz w:val="20"/>
        </w:rPr>
        <w:t>Individual department</w:t>
      </w:r>
      <w:r>
        <w:rPr>
          <w:color w:val="231F20"/>
          <w:spacing w:val="-14"/>
          <w:w w:val="110"/>
          <w:sz w:val="20"/>
        </w:rPr>
        <w:t> </w:t>
      </w:r>
      <w:r>
        <w:rPr>
          <w:color w:val="231F20"/>
          <w:w w:val="110"/>
          <w:sz w:val="20"/>
        </w:rPr>
        <w:t>budget</w:t>
      </w:r>
    </w:p>
    <w:p>
      <w:pPr>
        <w:spacing w:after="0" w:line="240" w:lineRule="auto"/>
        <w:jc w:val="left"/>
        <w:rPr>
          <w:sz w:val="20"/>
        </w:rPr>
        <w:sectPr>
          <w:type w:val="continuous"/>
          <w:pgSz w:w="11880" w:h="15480"/>
          <w:pgMar w:top="700" w:bottom="280" w:left="300" w:right="0"/>
          <w:cols w:num="2" w:equalWidth="0">
            <w:col w:w="4862" w:space="40"/>
            <w:col w:w="6678"/>
          </w:cols>
        </w:sectPr>
      </w:pPr>
    </w:p>
    <w:p>
      <w:pPr>
        <w:pStyle w:val="ListParagraph"/>
        <w:numPr>
          <w:ilvl w:val="2"/>
          <w:numId w:val="4"/>
        </w:numPr>
        <w:tabs>
          <w:tab w:pos="2468" w:val="left" w:leader="none"/>
        </w:tabs>
        <w:spacing w:line="240" w:lineRule="auto" w:before="187" w:after="0"/>
        <w:ind w:left="2467" w:right="1413" w:hanging="579"/>
        <w:jc w:val="left"/>
        <w:rPr>
          <w:sz w:val="20"/>
        </w:rPr>
      </w:pPr>
      <w:r>
        <w:rPr>
          <w:color w:val="231F20"/>
          <w:w w:val="105"/>
          <w:sz w:val="20"/>
        </w:rPr>
        <w:t>Hereunder is the list of the eligible KPIs </w:t>
      </w:r>
      <w:r>
        <w:rPr>
          <w:color w:val="231F20"/>
          <w:spacing w:val="-3"/>
          <w:w w:val="105"/>
          <w:sz w:val="20"/>
        </w:rPr>
        <w:t>for </w:t>
      </w:r>
      <w:r>
        <w:rPr>
          <w:color w:val="231F20"/>
          <w:w w:val="105"/>
          <w:sz w:val="20"/>
        </w:rPr>
        <w:t>the </w:t>
      </w:r>
      <w:r>
        <w:rPr>
          <w:color w:val="231F20"/>
          <w:spacing w:val="-3"/>
          <w:w w:val="105"/>
          <w:sz w:val="20"/>
        </w:rPr>
        <w:t>Annual </w:t>
      </w:r>
      <w:r>
        <w:rPr>
          <w:color w:val="231F20"/>
          <w:w w:val="105"/>
          <w:sz w:val="20"/>
        </w:rPr>
        <w:t>Bonus Plan </w:t>
      </w:r>
      <w:r>
        <w:rPr>
          <w:color w:val="231F20"/>
          <w:spacing w:val="-3"/>
          <w:w w:val="105"/>
          <w:sz w:val="20"/>
        </w:rPr>
        <w:t>for </w:t>
      </w:r>
      <w:r>
        <w:rPr>
          <w:color w:val="231F20"/>
          <w:w w:val="105"/>
          <w:sz w:val="20"/>
        </w:rPr>
        <w:t>the </w:t>
      </w:r>
      <w:r>
        <w:rPr>
          <w:color w:val="231F20"/>
          <w:spacing w:val="-3"/>
          <w:w w:val="105"/>
          <w:sz w:val="20"/>
        </w:rPr>
        <w:t>CEO. </w:t>
      </w:r>
      <w:r>
        <w:rPr>
          <w:color w:val="231F20"/>
          <w:w w:val="105"/>
          <w:sz w:val="20"/>
        </w:rPr>
        <w:t>The KPIs </w:t>
      </w:r>
      <w:r>
        <w:rPr>
          <w:color w:val="231F20"/>
          <w:spacing w:val="-3"/>
          <w:w w:val="105"/>
          <w:sz w:val="20"/>
        </w:rPr>
        <w:t>for </w:t>
      </w:r>
      <w:r>
        <w:rPr>
          <w:color w:val="231F20"/>
          <w:w w:val="105"/>
          <w:sz w:val="20"/>
        </w:rPr>
        <w:t>each year will be determined by the Compensation Committee and the Board in the </w:t>
      </w:r>
      <w:r>
        <w:rPr>
          <w:color w:val="231F20"/>
          <w:spacing w:val="-3"/>
          <w:w w:val="105"/>
          <w:sz w:val="20"/>
        </w:rPr>
        <w:t>Annual </w:t>
      </w:r>
      <w:r>
        <w:rPr>
          <w:color w:val="231F20"/>
          <w:w w:val="105"/>
          <w:sz w:val="20"/>
        </w:rPr>
        <w:t>Bonus Plan and will be chosen only from the </w:t>
      </w:r>
      <w:r>
        <w:rPr>
          <w:color w:val="231F20"/>
          <w:spacing w:val="-4"/>
          <w:w w:val="105"/>
          <w:sz w:val="20"/>
        </w:rPr>
        <w:t>KPI’s </w:t>
      </w:r>
      <w:r>
        <w:rPr>
          <w:color w:val="231F20"/>
          <w:w w:val="105"/>
          <w:sz w:val="20"/>
        </w:rPr>
        <w:t>list </w:t>
      </w:r>
      <w:r>
        <w:rPr>
          <w:color w:val="231F20"/>
          <w:spacing w:val="-5"/>
          <w:w w:val="105"/>
          <w:sz w:val="20"/>
        </w:rPr>
        <w:t>below. </w:t>
      </w:r>
      <w:r>
        <w:rPr>
          <w:color w:val="231F20"/>
          <w:w w:val="105"/>
          <w:sz w:val="20"/>
        </w:rPr>
        <w:t>The weight of each KPI will be up to</w:t>
      </w:r>
      <w:r>
        <w:rPr>
          <w:color w:val="231F20"/>
          <w:spacing w:val="-18"/>
          <w:w w:val="105"/>
          <w:sz w:val="20"/>
        </w:rPr>
        <w:t> </w:t>
      </w:r>
      <w:r>
        <w:rPr>
          <w:color w:val="231F20"/>
          <w:w w:val="105"/>
          <w:sz w:val="20"/>
        </w:rPr>
        <w:t>50%:</w:t>
      </w:r>
    </w:p>
    <w:p>
      <w:pPr>
        <w:pStyle w:val="BodyText"/>
        <w:spacing w:line="230" w:lineRule="exact" w:before="126"/>
        <w:ind w:left="2686"/>
      </w:pPr>
      <w:r>
        <w:rPr>
          <w:color w:val="231F20"/>
          <w:w w:val="105"/>
        </w:rPr>
        <w:t>Revenue;</w:t>
      </w:r>
    </w:p>
    <w:p>
      <w:pPr>
        <w:pStyle w:val="BodyText"/>
        <w:spacing w:line="230" w:lineRule="exact"/>
        <w:ind w:left="2686"/>
      </w:pPr>
      <w:r>
        <w:rPr>
          <w:color w:val="231F20"/>
          <w:w w:val="105"/>
        </w:rPr>
        <w:t>Revenue from existing geographies (Israel and Germany);</w:t>
      </w:r>
    </w:p>
    <w:p>
      <w:pPr>
        <w:pStyle w:val="BodyText"/>
        <w:ind w:left="2686" w:right="3190"/>
      </w:pPr>
      <w:r>
        <w:rPr>
          <w:color w:val="231F20"/>
          <w:spacing w:val="-4"/>
          <w:w w:val="105"/>
        </w:rPr>
        <w:t>Revenue </w:t>
      </w:r>
      <w:r>
        <w:rPr>
          <w:color w:val="231F20"/>
          <w:w w:val="105"/>
        </w:rPr>
        <w:t>from new geographies, new products or new business line; EBITDA;</w:t>
      </w:r>
    </w:p>
    <w:p>
      <w:pPr>
        <w:pStyle w:val="BodyText"/>
        <w:ind w:left="2686" w:right="6470"/>
      </w:pPr>
      <w:r>
        <w:rPr>
          <w:color w:val="231F20"/>
          <w:w w:val="105"/>
        </w:rPr>
        <w:t>Operating free cash flow; Net Profit;</w:t>
      </w:r>
    </w:p>
    <w:p>
      <w:pPr>
        <w:pStyle w:val="BodyText"/>
        <w:ind w:left="2686" w:right="7419"/>
      </w:pPr>
      <w:r>
        <w:rPr>
          <w:color w:val="231F20"/>
          <w:w w:val="105"/>
        </w:rPr>
        <w:t>Subscriber</w:t>
      </w:r>
      <w:r>
        <w:rPr>
          <w:color w:val="231F20"/>
          <w:spacing w:val="7"/>
          <w:w w:val="105"/>
        </w:rPr>
        <w:t> </w:t>
      </w:r>
      <w:r>
        <w:rPr>
          <w:color w:val="231F20"/>
          <w:spacing w:val="-4"/>
          <w:w w:val="105"/>
        </w:rPr>
        <w:t>Israel;</w:t>
      </w:r>
    </w:p>
    <w:p>
      <w:pPr>
        <w:pStyle w:val="BodyText"/>
        <w:ind w:left="2686" w:right="7419"/>
      </w:pPr>
      <w:r>
        <w:rPr>
          <w:color w:val="231F20"/>
          <w:spacing w:val="-3"/>
          <w:w w:val="105"/>
        </w:rPr>
        <w:t>Telehealth</w:t>
      </w:r>
      <w:r>
        <w:rPr>
          <w:color w:val="231F20"/>
          <w:spacing w:val="-8"/>
          <w:w w:val="105"/>
        </w:rPr>
        <w:t> </w:t>
      </w:r>
      <w:r>
        <w:rPr>
          <w:color w:val="231F20"/>
          <w:w w:val="105"/>
        </w:rPr>
        <w:t>users;</w:t>
      </w:r>
    </w:p>
    <w:p>
      <w:pPr>
        <w:pStyle w:val="BodyText"/>
        <w:ind w:left="2686" w:right="7419"/>
      </w:pPr>
      <w:r>
        <w:rPr>
          <w:color w:val="231F20"/>
          <w:spacing w:val="-3"/>
          <w:w w:val="105"/>
        </w:rPr>
        <w:t>Telehealth</w:t>
      </w:r>
      <w:r>
        <w:rPr>
          <w:color w:val="231F20"/>
          <w:spacing w:val="-20"/>
          <w:w w:val="105"/>
        </w:rPr>
        <w:t> </w:t>
      </w:r>
      <w:r>
        <w:rPr>
          <w:color w:val="231F20"/>
          <w:w w:val="105"/>
        </w:rPr>
        <w:t>visits;</w:t>
      </w:r>
    </w:p>
    <w:p>
      <w:pPr>
        <w:pStyle w:val="BodyText"/>
        <w:ind w:left="2686" w:right="1322"/>
      </w:pPr>
      <w:r>
        <w:rPr>
          <w:color w:val="231F20"/>
          <w:w w:val="105"/>
        </w:rPr>
        <w:t>Major strategic impact (new major contract, new meaningful product/technology launching or purchasing, major international distribution agreement or partnership, M&amp;A);</w:t>
      </w:r>
    </w:p>
    <w:p>
      <w:pPr>
        <w:pStyle w:val="BodyText"/>
        <w:spacing w:line="229" w:lineRule="exact"/>
        <w:ind w:left="2686"/>
      </w:pPr>
      <w:r>
        <w:rPr>
          <w:color w:val="231F20"/>
          <w:w w:val="105"/>
        </w:rPr>
        <w:t>Chronic care tenders.</w:t>
      </w:r>
    </w:p>
    <w:p>
      <w:pPr>
        <w:pStyle w:val="ListParagraph"/>
        <w:numPr>
          <w:ilvl w:val="2"/>
          <w:numId w:val="4"/>
        </w:numPr>
        <w:tabs>
          <w:tab w:pos="2468" w:val="left" w:leader="none"/>
        </w:tabs>
        <w:spacing w:line="240" w:lineRule="auto" w:before="124" w:after="0"/>
        <w:ind w:left="2467" w:right="1387" w:hanging="579"/>
        <w:jc w:val="left"/>
        <w:rPr>
          <w:sz w:val="20"/>
        </w:rPr>
      </w:pPr>
      <w:r>
        <w:rPr>
          <w:color w:val="231F20"/>
          <w:w w:val="105"/>
          <w:sz w:val="20"/>
        </w:rPr>
        <w:t>The measurement of profit targets shall be based on the audited </w:t>
      </w:r>
      <w:r>
        <w:rPr>
          <w:color w:val="231F20"/>
          <w:spacing w:val="-3"/>
          <w:w w:val="105"/>
          <w:sz w:val="20"/>
        </w:rPr>
        <w:t>annual </w:t>
      </w:r>
      <w:r>
        <w:rPr>
          <w:color w:val="231F20"/>
          <w:w w:val="105"/>
          <w:sz w:val="20"/>
        </w:rPr>
        <w:t>financial statements of the </w:t>
      </w:r>
      <w:r>
        <w:rPr>
          <w:color w:val="231F20"/>
          <w:spacing w:val="-4"/>
          <w:w w:val="105"/>
          <w:sz w:val="20"/>
        </w:rPr>
        <w:t>Company. </w:t>
      </w:r>
      <w:r>
        <w:rPr>
          <w:color w:val="231F20"/>
          <w:spacing w:val="-6"/>
          <w:w w:val="105"/>
          <w:sz w:val="20"/>
        </w:rPr>
        <w:t>For </w:t>
      </w:r>
      <w:r>
        <w:rPr>
          <w:color w:val="231F20"/>
          <w:w w:val="105"/>
          <w:sz w:val="20"/>
        </w:rPr>
        <w:t>the purpose of calculating a profit target, </w:t>
      </w:r>
      <w:r>
        <w:rPr>
          <w:color w:val="231F20"/>
          <w:spacing w:val="-3"/>
          <w:w w:val="105"/>
          <w:sz w:val="20"/>
        </w:rPr>
        <w:t>revenue </w:t>
      </w:r>
      <w:r>
        <w:rPr>
          <w:color w:val="231F20"/>
          <w:w w:val="105"/>
          <w:sz w:val="20"/>
        </w:rPr>
        <w:t>and expenses not involving cash flow and/or re-evaluation of assets will not be </w:t>
      </w:r>
      <w:r>
        <w:rPr>
          <w:color w:val="231F20"/>
          <w:spacing w:val="-4"/>
          <w:w w:val="105"/>
          <w:sz w:val="20"/>
        </w:rPr>
        <w:t>taken </w:t>
      </w:r>
      <w:r>
        <w:rPr>
          <w:color w:val="231F20"/>
          <w:w w:val="105"/>
          <w:sz w:val="20"/>
        </w:rPr>
        <w:t>into</w:t>
      </w:r>
      <w:r>
        <w:rPr>
          <w:color w:val="231F20"/>
          <w:spacing w:val="-10"/>
          <w:w w:val="105"/>
          <w:sz w:val="20"/>
        </w:rPr>
        <w:t> </w:t>
      </w:r>
      <w:r>
        <w:rPr>
          <w:color w:val="231F20"/>
          <w:w w:val="105"/>
          <w:sz w:val="20"/>
        </w:rPr>
        <w:t>account.</w:t>
      </w:r>
    </w:p>
    <w:p>
      <w:pPr>
        <w:pStyle w:val="ListParagraph"/>
        <w:numPr>
          <w:ilvl w:val="2"/>
          <w:numId w:val="4"/>
        </w:numPr>
        <w:tabs>
          <w:tab w:pos="2468" w:val="left" w:leader="none"/>
        </w:tabs>
        <w:spacing w:line="240" w:lineRule="auto" w:before="127" w:after="0"/>
        <w:ind w:left="2467" w:right="1588" w:hanging="579"/>
        <w:jc w:val="left"/>
        <w:rPr>
          <w:sz w:val="20"/>
        </w:rPr>
      </w:pPr>
      <w:r>
        <w:rPr>
          <w:color w:val="231F20"/>
          <w:w w:val="105"/>
          <w:sz w:val="20"/>
        </w:rPr>
        <w:t>The </w:t>
      </w:r>
      <w:r>
        <w:rPr>
          <w:color w:val="231F20"/>
          <w:spacing w:val="-3"/>
          <w:w w:val="105"/>
          <w:sz w:val="20"/>
        </w:rPr>
        <w:t>Annual </w:t>
      </w:r>
      <w:r>
        <w:rPr>
          <w:color w:val="231F20"/>
          <w:w w:val="105"/>
          <w:sz w:val="20"/>
        </w:rPr>
        <w:t>Cash Bonus parameters will be determined by the Compensation Committee and the Board, taking into account the </w:t>
      </w:r>
      <w:r>
        <w:rPr>
          <w:color w:val="231F20"/>
          <w:spacing w:val="-3"/>
          <w:w w:val="105"/>
          <w:sz w:val="20"/>
        </w:rPr>
        <w:t>Company’s </w:t>
      </w:r>
      <w:r>
        <w:rPr>
          <w:color w:val="231F20"/>
          <w:w w:val="105"/>
          <w:sz w:val="20"/>
        </w:rPr>
        <w:t>risk management</w:t>
      </w:r>
      <w:r>
        <w:rPr>
          <w:color w:val="231F20"/>
          <w:spacing w:val="-3"/>
          <w:w w:val="105"/>
          <w:sz w:val="20"/>
        </w:rPr>
        <w:t> </w:t>
      </w:r>
      <w:r>
        <w:rPr>
          <w:color w:val="231F20"/>
          <w:spacing w:val="-4"/>
          <w:w w:val="105"/>
          <w:sz w:val="20"/>
        </w:rPr>
        <w:t>policy.</w:t>
      </w:r>
    </w:p>
    <w:p>
      <w:pPr>
        <w:pStyle w:val="ListParagraph"/>
        <w:numPr>
          <w:ilvl w:val="2"/>
          <w:numId w:val="4"/>
        </w:numPr>
        <w:tabs>
          <w:tab w:pos="2468" w:val="left" w:leader="none"/>
        </w:tabs>
        <w:spacing w:line="240" w:lineRule="auto" w:before="127" w:after="0"/>
        <w:ind w:left="2467" w:right="1408" w:hanging="579"/>
        <w:jc w:val="left"/>
        <w:rPr>
          <w:sz w:val="20"/>
        </w:rPr>
      </w:pPr>
      <w:r>
        <w:rPr>
          <w:color w:val="231F20"/>
          <w:w w:val="105"/>
          <w:sz w:val="20"/>
        </w:rPr>
        <w:t>Entitlement of an Executive Officer to receive </w:t>
      </w:r>
      <w:r>
        <w:rPr>
          <w:color w:val="231F20"/>
          <w:spacing w:val="-3"/>
          <w:w w:val="105"/>
          <w:sz w:val="20"/>
        </w:rPr>
        <w:t>any Annual </w:t>
      </w:r>
      <w:r>
        <w:rPr>
          <w:color w:val="231F20"/>
          <w:w w:val="105"/>
          <w:sz w:val="20"/>
        </w:rPr>
        <w:t>Bonus shall be conditioned upon the achievement of a minimal threshold of 80% of the target performance of each of</w:t>
      </w:r>
      <w:r>
        <w:rPr>
          <w:color w:val="231F20"/>
          <w:spacing w:val="9"/>
          <w:w w:val="105"/>
          <w:sz w:val="20"/>
        </w:rPr>
        <w:t> </w:t>
      </w:r>
      <w:r>
        <w:rPr>
          <w:color w:val="231F20"/>
          <w:w w:val="105"/>
          <w:sz w:val="20"/>
        </w:rPr>
        <w:t>his</w:t>
      </w:r>
    </w:p>
    <w:p>
      <w:pPr>
        <w:pStyle w:val="BodyText"/>
        <w:ind w:left="2467" w:right="1322"/>
      </w:pPr>
      <w:r>
        <w:rPr>
          <w:color w:val="231F20"/>
          <w:w w:val="105"/>
        </w:rPr>
        <w:t>or her KPIs (the “</w:t>
      </w:r>
      <w:r>
        <w:rPr>
          <w:b/>
          <w:color w:val="231F20"/>
          <w:w w:val="105"/>
        </w:rPr>
        <w:t>Threshold</w:t>
      </w:r>
      <w:r>
        <w:rPr>
          <w:color w:val="231F20"/>
          <w:w w:val="105"/>
        </w:rPr>
        <w:t>”) or any other threshold determined in the Annual Bonus Plan. For avoidance of doubt, performance below the Threshold of a KPI shall not entitle such Executive Officer to any bonus payment with respect to such KPI; </w:t>
      </w:r>
      <w:r>
        <w:rPr>
          <w:i/>
          <w:color w:val="231F20"/>
          <w:w w:val="105"/>
        </w:rPr>
        <w:t>however, </w:t>
      </w:r>
      <w:r>
        <w:rPr>
          <w:color w:val="231F20"/>
          <w:w w:val="105"/>
        </w:rPr>
        <w:t>achievement of such Threshold of other KPIs of an Executive Officer may entitle same to a bonus</w:t>
      </w:r>
    </w:p>
    <w:p>
      <w:pPr>
        <w:pStyle w:val="BodyText"/>
        <w:ind w:left="2467" w:right="1395"/>
      </w:pPr>
      <w:r>
        <w:rPr>
          <w:color w:val="231F20"/>
          <w:w w:val="105"/>
        </w:rPr>
        <w:t>payment with respect thereto. Performance above the Threshold may entitle the Executive Officer to a linear pro rata portion of the bonus set for such KPI or any other portion determined in the Annual Bonus Plan (up to the ceiling of the bonus allocated thereto, </w:t>
      </w:r>
      <w:r>
        <w:rPr>
          <w:i/>
          <w:color w:val="231F20"/>
          <w:w w:val="105"/>
        </w:rPr>
        <w:t>provided </w:t>
      </w:r>
      <w:r>
        <w:rPr>
          <w:color w:val="231F20"/>
          <w:w w:val="105"/>
        </w:rPr>
        <w:t>that the aggregate Annual Bonus paid to an Executive Officer shall not exceed the ceiling set forth hereinabove.</w:t>
      </w:r>
    </w:p>
    <w:p>
      <w:pPr>
        <w:pStyle w:val="ListParagraph"/>
        <w:numPr>
          <w:ilvl w:val="2"/>
          <w:numId w:val="4"/>
        </w:numPr>
        <w:tabs>
          <w:tab w:pos="2468" w:val="left" w:leader="none"/>
        </w:tabs>
        <w:spacing w:line="240" w:lineRule="auto" w:before="121" w:after="0"/>
        <w:ind w:left="2467" w:right="1668" w:hanging="579"/>
        <w:jc w:val="left"/>
        <w:rPr>
          <w:sz w:val="20"/>
        </w:rPr>
      </w:pPr>
      <w:r>
        <w:rPr>
          <w:color w:val="231F20"/>
          <w:w w:val="110"/>
          <w:sz w:val="20"/>
        </w:rPr>
        <w:t>Notwithstanding</w:t>
      </w:r>
      <w:r>
        <w:rPr>
          <w:color w:val="231F20"/>
          <w:spacing w:val="-23"/>
          <w:w w:val="110"/>
          <w:sz w:val="20"/>
        </w:rPr>
        <w:t> </w:t>
      </w:r>
      <w:r>
        <w:rPr>
          <w:color w:val="231F20"/>
          <w:w w:val="110"/>
          <w:sz w:val="20"/>
        </w:rPr>
        <w:t>the</w:t>
      </w:r>
      <w:r>
        <w:rPr>
          <w:color w:val="231F20"/>
          <w:spacing w:val="-23"/>
          <w:w w:val="110"/>
          <w:sz w:val="20"/>
        </w:rPr>
        <w:t> </w:t>
      </w:r>
      <w:r>
        <w:rPr>
          <w:color w:val="231F20"/>
          <w:spacing w:val="-5"/>
          <w:w w:val="110"/>
          <w:sz w:val="20"/>
        </w:rPr>
        <w:t>above,</w:t>
      </w:r>
      <w:r>
        <w:rPr>
          <w:color w:val="231F20"/>
          <w:spacing w:val="-22"/>
          <w:w w:val="110"/>
          <w:sz w:val="20"/>
        </w:rPr>
        <w:t> </w:t>
      </w:r>
      <w:r>
        <w:rPr>
          <w:color w:val="231F20"/>
          <w:w w:val="110"/>
          <w:sz w:val="20"/>
        </w:rPr>
        <w:t>the</w:t>
      </w:r>
      <w:r>
        <w:rPr>
          <w:color w:val="231F20"/>
          <w:spacing w:val="-23"/>
          <w:w w:val="110"/>
          <w:sz w:val="20"/>
        </w:rPr>
        <w:t> </w:t>
      </w:r>
      <w:r>
        <w:rPr>
          <w:color w:val="231F20"/>
          <w:w w:val="110"/>
          <w:sz w:val="20"/>
        </w:rPr>
        <w:t>Compensation</w:t>
      </w:r>
      <w:r>
        <w:rPr>
          <w:color w:val="231F20"/>
          <w:spacing w:val="-22"/>
          <w:w w:val="110"/>
          <w:sz w:val="20"/>
        </w:rPr>
        <w:t> </w:t>
      </w:r>
      <w:r>
        <w:rPr>
          <w:color w:val="231F20"/>
          <w:w w:val="110"/>
          <w:sz w:val="20"/>
        </w:rPr>
        <w:t>Committee</w:t>
      </w:r>
      <w:r>
        <w:rPr>
          <w:color w:val="231F20"/>
          <w:spacing w:val="-23"/>
          <w:w w:val="110"/>
          <w:sz w:val="20"/>
        </w:rPr>
        <w:t> </w:t>
      </w:r>
      <w:r>
        <w:rPr>
          <w:color w:val="231F20"/>
          <w:w w:val="110"/>
          <w:sz w:val="20"/>
        </w:rPr>
        <w:t>and</w:t>
      </w:r>
      <w:r>
        <w:rPr>
          <w:color w:val="231F20"/>
          <w:spacing w:val="-22"/>
          <w:w w:val="110"/>
          <w:sz w:val="20"/>
        </w:rPr>
        <w:t> </w:t>
      </w:r>
      <w:r>
        <w:rPr>
          <w:color w:val="231F20"/>
          <w:w w:val="110"/>
          <w:sz w:val="20"/>
        </w:rPr>
        <w:t>the</w:t>
      </w:r>
      <w:r>
        <w:rPr>
          <w:color w:val="231F20"/>
          <w:spacing w:val="-23"/>
          <w:w w:val="110"/>
          <w:sz w:val="20"/>
        </w:rPr>
        <w:t> </w:t>
      </w:r>
      <w:r>
        <w:rPr>
          <w:color w:val="231F20"/>
          <w:w w:val="110"/>
          <w:sz w:val="20"/>
        </w:rPr>
        <w:t>Board</w:t>
      </w:r>
      <w:r>
        <w:rPr>
          <w:color w:val="231F20"/>
          <w:spacing w:val="-23"/>
          <w:w w:val="110"/>
          <w:sz w:val="20"/>
        </w:rPr>
        <w:t> </w:t>
      </w:r>
      <w:r>
        <w:rPr>
          <w:color w:val="231F20"/>
          <w:spacing w:val="-3"/>
          <w:w w:val="110"/>
          <w:sz w:val="20"/>
        </w:rPr>
        <w:t>may</w:t>
      </w:r>
      <w:r>
        <w:rPr>
          <w:color w:val="231F20"/>
          <w:spacing w:val="-22"/>
          <w:w w:val="110"/>
          <w:sz w:val="20"/>
        </w:rPr>
        <w:t> </w:t>
      </w:r>
      <w:r>
        <w:rPr>
          <w:color w:val="231F20"/>
          <w:w w:val="110"/>
          <w:sz w:val="20"/>
        </w:rPr>
        <w:t>decide,</w:t>
      </w:r>
      <w:r>
        <w:rPr>
          <w:color w:val="231F20"/>
          <w:spacing w:val="-23"/>
          <w:w w:val="110"/>
          <w:sz w:val="20"/>
        </w:rPr>
        <w:t> </w:t>
      </w:r>
      <w:r>
        <w:rPr>
          <w:color w:val="231F20"/>
          <w:spacing w:val="-3"/>
          <w:w w:val="110"/>
          <w:sz w:val="20"/>
        </w:rPr>
        <w:t>at </w:t>
      </w:r>
      <w:r>
        <w:rPr>
          <w:color w:val="231F20"/>
          <w:w w:val="110"/>
          <w:sz w:val="20"/>
        </w:rPr>
        <w:t>their</w:t>
      </w:r>
      <w:r>
        <w:rPr>
          <w:color w:val="231F20"/>
          <w:spacing w:val="-20"/>
          <w:w w:val="110"/>
          <w:sz w:val="20"/>
        </w:rPr>
        <w:t> </w:t>
      </w:r>
      <w:r>
        <w:rPr>
          <w:color w:val="231F20"/>
          <w:w w:val="110"/>
          <w:sz w:val="20"/>
        </w:rPr>
        <w:t>sole</w:t>
      </w:r>
      <w:r>
        <w:rPr>
          <w:color w:val="231F20"/>
          <w:spacing w:val="-19"/>
          <w:w w:val="110"/>
          <w:sz w:val="20"/>
        </w:rPr>
        <w:t> </w:t>
      </w:r>
      <w:r>
        <w:rPr>
          <w:color w:val="231F20"/>
          <w:w w:val="110"/>
          <w:sz w:val="20"/>
        </w:rPr>
        <w:t>discretion,</w:t>
      </w:r>
      <w:r>
        <w:rPr>
          <w:color w:val="231F20"/>
          <w:spacing w:val="-20"/>
          <w:w w:val="110"/>
          <w:sz w:val="20"/>
        </w:rPr>
        <w:t> </w:t>
      </w:r>
      <w:r>
        <w:rPr>
          <w:color w:val="231F20"/>
          <w:w w:val="110"/>
          <w:sz w:val="20"/>
        </w:rPr>
        <w:t>to</w:t>
      </w:r>
      <w:r>
        <w:rPr>
          <w:color w:val="231F20"/>
          <w:spacing w:val="-19"/>
          <w:w w:val="110"/>
          <w:sz w:val="20"/>
        </w:rPr>
        <w:t> </w:t>
      </w:r>
      <w:r>
        <w:rPr>
          <w:color w:val="231F20"/>
          <w:spacing w:val="-3"/>
          <w:w w:val="110"/>
          <w:sz w:val="20"/>
        </w:rPr>
        <w:t>pay</w:t>
      </w:r>
      <w:r>
        <w:rPr>
          <w:color w:val="231F20"/>
          <w:spacing w:val="-19"/>
          <w:w w:val="110"/>
          <w:sz w:val="20"/>
        </w:rPr>
        <w:t> </w:t>
      </w:r>
      <w:r>
        <w:rPr>
          <w:color w:val="231F20"/>
          <w:w w:val="110"/>
          <w:sz w:val="20"/>
        </w:rPr>
        <w:t>an</w:t>
      </w:r>
      <w:r>
        <w:rPr>
          <w:color w:val="231F20"/>
          <w:spacing w:val="-20"/>
          <w:w w:val="110"/>
          <w:sz w:val="20"/>
        </w:rPr>
        <w:t> </w:t>
      </w:r>
      <w:r>
        <w:rPr>
          <w:color w:val="231F20"/>
          <w:w w:val="110"/>
          <w:sz w:val="20"/>
        </w:rPr>
        <w:t>Executive</w:t>
      </w:r>
      <w:r>
        <w:rPr>
          <w:color w:val="231F20"/>
          <w:spacing w:val="-19"/>
          <w:w w:val="110"/>
          <w:sz w:val="20"/>
        </w:rPr>
        <w:t> </w:t>
      </w:r>
      <w:r>
        <w:rPr>
          <w:color w:val="231F20"/>
          <w:w w:val="110"/>
          <w:sz w:val="20"/>
        </w:rPr>
        <w:t>Officer</w:t>
      </w:r>
      <w:r>
        <w:rPr>
          <w:color w:val="231F20"/>
          <w:spacing w:val="-19"/>
          <w:w w:val="110"/>
          <w:sz w:val="20"/>
        </w:rPr>
        <w:t> </w:t>
      </w:r>
      <w:r>
        <w:rPr>
          <w:color w:val="231F20"/>
          <w:spacing w:val="-3"/>
          <w:w w:val="110"/>
          <w:sz w:val="20"/>
        </w:rPr>
        <w:t>annual</w:t>
      </w:r>
      <w:r>
        <w:rPr>
          <w:color w:val="231F20"/>
          <w:spacing w:val="-20"/>
          <w:w w:val="110"/>
          <w:sz w:val="20"/>
        </w:rPr>
        <w:t> </w:t>
      </w:r>
      <w:r>
        <w:rPr>
          <w:color w:val="231F20"/>
          <w:spacing w:val="-3"/>
          <w:w w:val="110"/>
          <w:sz w:val="20"/>
        </w:rPr>
        <w:t>bonus,</w:t>
      </w:r>
      <w:r>
        <w:rPr>
          <w:color w:val="231F20"/>
          <w:spacing w:val="-19"/>
          <w:w w:val="110"/>
          <w:sz w:val="20"/>
        </w:rPr>
        <w:t> </w:t>
      </w:r>
      <w:r>
        <w:rPr>
          <w:color w:val="231F20"/>
          <w:w w:val="110"/>
          <w:sz w:val="20"/>
        </w:rPr>
        <w:t>even</w:t>
      </w:r>
      <w:r>
        <w:rPr>
          <w:color w:val="231F20"/>
          <w:spacing w:val="-19"/>
          <w:w w:val="110"/>
          <w:sz w:val="20"/>
        </w:rPr>
        <w:t> </w:t>
      </w:r>
      <w:r>
        <w:rPr>
          <w:color w:val="231F20"/>
          <w:w w:val="110"/>
          <w:sz w:val="20"/>
        </w:rPr>
        <w:t>if</w:t>
      </w:r>
      <w:r>
        <w:rPr>
          <w:color w:val="231F20"/>
          <w:spacing w:val="-6"/>
          <w:w w:val="110"/>
          <w:sz w:val="20"/>
        </w:rPr>
        <w:t> </w:t>
      </w:r>
      <w:r>
        <w:rPr>
          <w:color w:val="231F20"/>
          <w:w w:val="110"/>
          <w:sz w:val="20"/>
        </w:rPr>
        <w:t>KPIs</w:t>
      </w:r>
      <w:r>
        <w:rPr>
          <w:color w:val="231F20"/>
          <w:spacing w:val="-19"/>
          <w:w w:val="110"/>
          <w:sz w:val="20"/>
        </w:rPr>
        <w:t> </w:t>
      </w:r>
      <w:r>
        <w:rPr>
          <w:color w:val="231F20"/>
          <w:w w:val="110"/>
          <w:sz w:val="20"/>
        </w:rPr>
        <w:t>were</w:t>
      </w:r>
      <w:r>
        <w:rPr>
          <w:color w:val="231F20"/>
          <w:spacing w:val="-20"/>
          <w:w w:val="110"/>
          <w:sz w:val="20"/>
        </w:rPr>
        <w:t> </w:t>
      </w:r>
      <w:r>
        <w:rPr>
          <w:color w:val="231F20"/>
          <w:w w:val="110"/>
          <w:sz w:val="20"/>
        </w:rPr>
        <w:t>not determined</w:t>
      </w:r>
      <w:r>
        <w:rPr>
          <w:color w:val="231F20"/>
          <w:spacing w:val="-13"/>
          <w:w w:val="110"/>
          <w:sz w:val="20"/>
        </w:rPr>
        <w:t> </w:t>
      </w:r>
      <w:r>
        <w:rPr>
          <w:color w:val="231F20"/>
          <w:w w:val="110"/>
          <w:sz w:val="20"/>
        </w:rPr>
        <w:t>in</w:t>
      </w:r>
      <w:r>
        <w:rPr>
          <w:color w:val="231F20"/>
          <w:spacing w:val="-12"/>
          <w:w w:val="110"/>
          <w:sz w:val="20"/>
        </w:rPr>
        <w:t> </w:t>
      </w:r>
      <w:r>
        <w:rPr>
          <w:color w:val="231F20"/>
          <w:w w:val="110"/>
          <w:sz w:val="20"/>
        </w:rPr>
        <w:t>advance</w:t>
      </w:r>
      <w:r>
        <w:rPr>
          <w:color w:val="231F20"/>
          <w:spacing w:val="-13"/>
          <w:w w:val="110"/>
          <w:sz w:val="20"/>
        </w:rPr>
        <w:t> </w:t>
      </w:r>
      <w:r>
        <w:rPr>
          <w:color w:val="231F20"/>
          <w:w w:val="110"/>
          <w:sz w:val="20"/>
        </w:rPr>
        <w:t>or</w:t>
      </w:r>
      <w:r>
        <w:rPr>
          <w:color w:val="231F20"/>
          <w:spacing w:val="-12"/>
          <w:w w:val="110"/>
          <w:sz w:val="20"/>
        </w:rPr>
        <w:t> </w:t>
      </w:r>
      <w:r>
        <w:rPr>
          <w:color w:val="231F20"/>
          <w:w w:val="110"/>
          <w:sz w:val="20"/>
        </w:rPr>
        <w:t>in</w:t>
      </w:r>
      <w:r>
        <w:rPr>
          <w:color w:val="231F20"/>
          <w:spacing w:val="-13"/>
          <w:w w:val="110"/>
          <w:sz w:val="20"/>
        </w:rPr>
        <w:t> </w:t>
      </w:r>
      <w:r>
        <w:rPr>
          <w:color w:val="231F20"/>
          <w:w w:val="110"/>
          <w:sz w:val="20"/>
        </w:rPr>
        <w:t>the</w:t>
      </w:r>
      <w:r>
        <w:rPr>
          <w:color w:val="231F20"/>
          <w:spacing w:val="-12"/>
          <w:w w:val="110"/>
          <w:sz w:val="20"/>
        </w:rPr>
        <w:t> </w:t>
      </w:r>
      <w:r>
        <w:rPr>
          <w:color w:val="231F20"/>
          <w:w w:val="110"/>
          <w:sz w:val="20"/>
        </w:rPr>
        <w:t>event</w:t>
      </w:r>
      <w:r>
        <w:rPr>
          <w:color w:val="231F20"/>
          <w:spacing w:val="-13"/>
          <w:w w:val="110"/>
          <w:sz w:val="20"/>
        </w:rPr>
        <w:t> </w:t>
      </w:r>
      <w:r>
        <w:rPr>
          <w:color w:val="231F20"/>
          <w:w w:val="110"/>
          <w:sz w:val="20"/>
        </w:rPr>
        <w:t>the</w:t>
      </w:r>
      <w:r>
        <w:rPr>
          <w:color w:val="231F20"/>
          <w:spacing w:val="-12"/>
          <w:w w:val="110"/>
          <w:sz w:val="20"/>
        </w:rPr>
        <w:t> </w:t>
      </w:r>
      <w:r>
        <w:rPr>
          <w:color w:val="231F20"/>
          <w:w w:val="110"/>
          <w:sz w:val="20"/>
        </w:rPr>
        <w:t>Executive</w:t>
      </w:r>
      <w:r>
        <w:rPr>
          <w:color w:val="231F20"/>
          <w:spacing w:val="-12"/>
          <w:w w:val="110"/>
          <w:sz w:val="20"/>
        </w:rPr>
        <w:t> </w:t>
      </w:r>
      <w:r>
        <w:rPr>
          <w:color w:val="231F20"/>
          <w:w w:val="110"/>
          <w:sz w:val="20"/>
        </w:rPr>
        <w:t>Officer</w:t>
      </w:r>
      <w:r>
        <w:rPr>
          <w:color w:val="231F20"/>
          <w:spacing w:val="-13"/>
          <w:w w:val="110"/>
          <w:sz w:val="20"/>
        </w:rPr>
        <w:t> </w:t>
      </w:r>
      <w:r>
        <w:rPr>
          <w:color w:val="231F20"/>
          <w:w w:val="110"/>
          <w:sz w:val="20"/>
        </w:rPr>
        <w:t>did</w:t>
      </w:r>
      <w:r>
        <w:rPr>
          <w:color w:val="231F20"/>
          <w:spacing w:val="-12"/>
          <w:w w:val="110"/>
          <w:sz w:val="20"/>
        </w:rPr>
        <w:t> </w:t>
      </w:r>
      <w:r>
        <w:rPr>
          <w:color w:val="231F20"/>
          <w:w w:val="110"/>
          <w:sz w:val="20"/>
        </w:rPr>
        <w:t>not</w:t>
      </w:r>
      <w:r>
        <w:rPr>
          <w:color w:val="231F20"/>
          <w:spacing w:val="-13"/>
          <w:w w:val="110"/>
          <w:sz w:val="20"/>
        </w:rPr>
        <w:t> </w:t>
      </w:r>
      <w:r>
        <w:rPr>
          <w:color w:val="231F20"/>
          <w:w w:val="110"/>
          <w:sz w:val="20"/>
        </w:rPr>
        <w:t>achieve</w:t>
      </w:r>
      <w:r>
        <w:rPr>
          <w:color w:val="231F20"/>
          <w:spacing w:val="-12"/>
          <w:w w:val="110"/>
          <w:sz w:val="20"/>
        </w:rPr>
        <w:t> </w:t>
      </w:r>
      <w:r>
        <w:rPr>
          <w:color w:val="231F20"/>
          <w:w w:val="110"/>
          <w:sz w:val="20"/>
        </w:rPr>
        <w:t>the</w:t>
      </w:r>
      <w:r>
        <w:rPr>
          <w:color w:val="231F20"/>
          <w:spacing w:val="-13"/>
          <w:w w:val="110"/>
          <w:sz w:val="20"/>
        </w:rPr>
        <w:t> </w:t>
      </w:r>
      <w:r>
        <w:rPr>
          <w:color w:val="231F20"/>
          <w:w w:val="110"/>
          <w:sz w:val="20"/>
        </w:rPr>
        <w:t>KPIs determined,</w:t>
      </w:r>
      <w:r>
        <w:rPr>
          <w:color w:val="231F20"/>
          <w:spacing w:val="-26"/>
          <w:w w:val="110"/>
          <w:sz w:val="20"/>
        </w:rPr>
        <w:t> </w:t>
      </w:r>
      <w:r>
        <w:rPr>
          <w:color w:val="231F20"/>
          <w:w w:val="110"/>
          <w:sz w:val="20"/>
        </w:rPr>
        <w:t>provided</w:t>
      </w:r>
      <w:r>
        <w:rPr>
          <w:color w:val="231F20"/>
          <w:spacing w:val="-26"/>
          <w:w w:val="110"/>
          <w:sz w:val="20"/>
        </w:rPr>
        <w:t> </w:t>
      </w:r>
      <w:r>
        <w:rPr>
          <w:color w:val="231F20"/>
          <w:spacing w:val="-5"/>
          <w:w w:val="110"/>
          <w:sz w:val="20"/>
        </w:rPr>
        <w:t>however,</w:t>
      </w:r>
      <w:r>
        <w:rPr>
          <w:color w:val="231F20"/>
          <w:spacing w:val="-26"/>
          <w:w w:val="110"/>
          <w:sz w:val="20"/>
        </w:rPr>
        <w:t> </w:t>
      </w:r>
      <w:r>
        <w:rPr>
          <w:color w:val="231F20"/>
          <w:w w:val="110"/>
          <w:sz w:val="20"/>
        </w:rPr>
        <w:t>that</w:t>
      </w:r>
      <w:r>
        <w:rPr>
          <w:color w:val="231F20"/>
          <w:spacing w:val="-26"/>
          <w:w w:val="110"/>
          <w:sz w:val="20"/>
        </w:rPr>
        <w:t> </w:t>
      </w:r>
      <w:r>
        <w:rPr>
          <w:color w:val="231F20"/>
          <w:w w:val="110"/>
          <w:sz w:val="20"/>
        </w:rPr>
        <w:t>the</w:t>
      </w:r>
      <w:r>
        <w:rPr>
          <w:color w:val="231F20"/>
          <w:spacing w:val="-26"/>
          <w:w w:val="110"/>
          <w:sz w:val="20"/>
        </w:rPr>
        <w:t> </w:t>
      </w:r>
      <w:r>
        <w:rPr>
          <w:color w:val="231F20"/>
          <w:spacing w:val="-3"/>
          <w:w w:val="110"/>
          <w:sz w:val="20"/>
        </w:rPr>
        <w:t>annual</w:t>
      </w:r>
      <w:r>
        <w:rPr>
          <w:color w:val="231F20"/>
          <w:spacing w:val="-25"/>
          <w:w w:val="110"/>
          <w:sz w:val="20"/>
        </w:rPr>
        <w:t> </w:t>
      </w:r>
      <w:r>
        <w:rPr>
          <w:color w:val="231F20"/>
          <w:w w:val="110"/>
          <w:sz w:val="20"/>
        </w:rPr>
        <w:t>bonus</w:t>
      </w:r>
      <w:r>
        <w:rPr>
          <w:color w:val="231F20"/>
          <w:spacing w:val="-26"/>
          <w:w w:val="110"/>
          <w:sz w:val="20"/>
        </w:rPr>
        <w:t> </w:t>
      </w:r>
      <w:r>
        <w:rPr>
          <w:color w:val="231F20"/>
          <w:w w:val="110"/>
          <w:sz w:val="20"/>
        </w:rPr>
        <w:t>shall</w:t>
      </w:r>
      <w:r>
        <w:rPr>
          <w:color w:val="231F20"/>
          <w:spacing w:val="-26"/>
          <w:w w:val="110"/>
          <w:sz w:val="20"/>
        </w:rPr>
        <w:t> </w:t>
      </w:r>
      <w:r>
        <w:rPr>
          <w:color w:val="231F20"/>
          <w:w w:val="110"/>
          <w:sz w:val="20"/>
        </w:rPr>
        <w:t>not</w:t>
      </w:r>
      <w:r>
        <w:rPr>
          <w:color w:val="231F20"/>
          <w:spacing w:val="-26"/>
          <w:w w:val="110"/>
          <w:sz w:val="20"/>
        </w:rPr>
        <w:t> </w:t>
      </w:r>
      <w:r>
        <w:rPr>
          <w:color w:val="231F20"/>
          <w:w w:val="110"/>
          <w:sz w:val="20"/>
        </w:rPr>
        <w:t>exceed</w:t>
      </w:r>
      <w:r>
        <w:rPr>
          <w:color w:val="231F20"/>
          <w:spacing w:val="-26"/>
          <w:w w:val="110"/>
          <w:sz w:val="20"/>
        </w:rPr>
        <w:t> </w:t>
      </w:r>
      <w:r>
        <w:rPr>
          <w:color w:val="231F20"/>
          <w:w w:val="110"/>
          <w:sz w:val="20"/>
        </w:rPr>
        <w:t>three</w:t>
      </w:r>
      <w:r>
        <w:rPr>
          <w:color w:val="231F20"/>
          <w:spacing w:val="-25"/>
          <w:w w:val="110"/>
          <w:sz w:val="20"/>
        </w:rPr>
        <w:t> </w:t>
      </w:r>
      <w:r>
        <w:rPr>
          <w:color w:val="231F20"/>
          <w:w w:val="110"/>
          <w:sz w:val="20"/>
        </w:rPr>
        <w:t>(3)</w:t>
      </w:r>
      <w:r>
        <w:rPr>
          <w:color w:val="231F20"/>
          <w:spacing w:val="-26"/>
          <w:w w:val="110"/>
          <w:sz w:val="20"/>
        </w:rPr>
        <w:t> </w:t>
      </w:r>
      <w:r>
        <w:rPr>
          <w:color w:val="231F20"/>
          <w:w w:val="110"/>
          <w:sz w:val="20"/>
        </w:rPr>
        <w:t>times</w:t>
      </w:r>
      <w:r>
        <w:rPr>
          <w:color w:val="231F20"/>
          <w:spacing w:val="-26"/>
          <w:w w:val="110"/>
          <w:sz w:val="20"/>
        </w:rPr>
        <w:t> </w:t>
      </w:r>
      <w:r>
        <w:rPr>
          <w:color w:val="231F20"/>
          <w:w w:val="110"/>
          <w:sz w:val="20"/>
        </w:rPr>
        <w:t>the Base Salary of that Executive</w:t>
      </w:r>
      <w:r>
        <w:rPr>
          <w:color w:val="231F20"/>
          <w:spacing w:val="-22"/>
          <w:w w:val="110"/>
          <w:sz w:val="20"/>
        </w:rPr>
        <w:t> </w:t>
      </w:r>
      <w:r>
        <w:rPr>
          <w:color w:val="231F20"/>
          <w:w w:val="110"/>
          <w:sz w:val="20"/>
        </w:rPr>
        <w:t>Officer.</w:t>
      </w:r>
    </w:p>
    <w:p>
      <w:pPr>
        <w:pStyle w:val="ListParagraph"/>
        <w:numPr>
          <w:ilvl w:val="1"/>
          <w:numId w:val="4"/>
        </w:numPr>
        <w:tabs>
          <w:tab w:pos="1889" w:val="left" w:leader="none"/>
        </w:tabs>
        <w:spacing w:line="240" w:lineRule="auto" w:before="124" w:after="0"/>
        <w:ind w:left="1888" w:right="0" w:hanging="400"/>
        <w:jc w:val="left"/>
        <w:rPr>
          <w:sz w:val="20"/>
        </w:rPr>
      </w:pPr>
      <w:r>
        <w:rPr>
          <w:color w:val="231F20"/>
          <w:w w:val="110"/>
          <w:sz w:val="20"/>
          <w:u w:val="single" w:color="231F20"/>
        </w:rPr>
        <w:t>Non-Measurable Criteria </w:t>
      </w:r>
      <w:r>
        <w:rPr>
          <w:color w:val="231F20"/>
          <w:spacing w:val="-3"/>
          <w:w w:val="110"/>
          <w:sz w:val="20"/>
          <w:u w:val="single" w:color="231F20"/>
        </w:rPr>
        <w:t>for </w:t>
      </w:r>
      <w:r>
        <w:rPr>
          <w:color w:val="231F20"/>
          <w:w w:val="110"/>
          <w:sz w:val="20"/>
          <w:u w:val="single" w:color="231F20"/>
        </w:rPr>
        <w:t>the</w:t>
      </w:r>
      <w:r>
        <w:rPr>
          <w:color w:val="231F20"/>
          <w:spacing w:val="-24"/>
          <w:w w:val="110"/>
          <w:sz w:val="20"/>
          <w:u w:val="single" w:color="231F20"/>
        </w:rPr>
        <w:t> </w:t>
      </w:r>
      <w:r>
        <w:rPr>
          <w:color w:val="231F20"/>
          <w:w w:val="110"/>
          <w:sz w:val="20"/>
          <w:u w:val="single" w:color="231F20"/>
        </w:rPr>
        <w:t>Bonus</w:t>
      </w:r>
    </w:p>
    <w:p>
      <w:pPr>
        <w:pStyle w:val="BodyText"/>
        <w:spacing w:before="125"/>
        <w:ind w:left="1888" w:right="1322"/>
      </w:pPr>
      <w:r>
        <w:rPr>
          <w:color w:val="231F20"/>
          <w:w w:val="105"/>
        </w:rPr>
        <w:t>The Compensation Committee and the Board will consider and approve this component, based, inter alia, on the recommendation and personal assessment given by the person or organ in charge</w:t>
      </w:r>
    </w:p>
    <w:p>
      <w:pPr>
        <w:spacing w:after="0"/>
        <w:sectPr>
          <w:type w:val="continuous"/>
          <w:pgSz w:w="11880" w:h="15480"/>
          <w:pgMar w:top="700" w:bottom="280" w:left="300" w:right="0"/>
        </w:sectPr>
      </w:pPr>
    </w:p>
    <w:p>
      <w:pPr>
        <w:pStyle w:val="BodyText"/>
        <w:spacing w:line="244" w:lineRule="auto" w:before="87"/>
        <w:ind w:left="1888" w:right="1765"/>
      </w:pPr>
      <w:r>
        <w:rPr>
          <w:color w:val="231F20"/>
          <w:w w:val="105"/>
        </w:rPr>
        <w:t>of the Executive Officer, specifying the relevant reasons underlying the recommendation: The Executive Officer’s unique contribution to the Company:</w:t>
      </w:r>
    </w:p>
    <w:p>
      <w:pPr>
        <w:pStyle w:val="ListParagraph"/>
        <w:numPr>
          <w:ilvl w:val="0"/>
          <w:numId w:val="10"/>
        </w:numPr>
        <w:tabs>
          <w:tab w:pos="2088" w:val="left" w:leader="none"/>
        </w:tabs>
        <w:spacing w:line="244" w:lineRule="auto" w:before="122" w:after="0"/>
        <w:ind w:left="2087" w:right="1704" w:hanging="200"/>
        <w:jc w:val="left"/>
        <w:rPr>
          <w:sz w:val="20"/>
        </w:rPr>
      </w:pPr>
      <w:r>
        <w:rPr>
          <w:color w:val="231F20"/>
          <w:w w:val="105"/>
          <w:sz w:val="20"/>
        </w:rPr>
        <w:t>Satisfaction</w:t>
      </w:r>
      <w:r>
        <w:rPr>
          <w:color w:val="231F20"/>
          <w:spacing w:val="-9"/>
          <w:w w:val="105"/>
          <w:sz w:val="20"/>
        </w:rPr>
        <w:t> </w:t>
      </w:r>
      <w:r>
        <w:rPr>
          <w:color w:val="231F20"/>
          <w:w w:val="105"/>
          <w:sz w:val="20"/>
        </w:rPr>
        <w:t>with</w:t>
      </w:r>
      <w:r>
        <w:rPr>
          <w:color w:val="231F20"/>
          <w:spacing w:val="-8"/>
          <w:w w:val="105"/>
          <w:sz w:val="20"/>
        </w:rPr>
        <w:t> </w:t>
      </w:r>
      <w:r>
        <w:rPr>
          <w:color w:val="231F20"/>
          <w:w w:val="105"/>
          <w:sz w:val="20"/>
        </w:rPr>
        <w:t>the</w:t>
      </w:r>
      <w:r>
        <w:rPr>
          <w:color w:val="231F20"/>
          <w:spacing w:val="-9"/>
          <w:w w:val="105"/>
          <w:sz w:val="20"/>
        </w:rPr>
        <w:t> </w:t>
      </w:r>
      <w:r>
        <w:rPr>
          <w:color w:val="231F20"/>
          <w:spacing w:val="-3"/>
          <w:w w:val="105"/>
          <w:sz w:val="20"/>
        </w:rPr>
        <w:t>Officer’s</w:t>
      </w:r>
      <w:r>
        <w:rPr>
          <w:color w:val="231F20"/>
          <w:spacing w:val="-9"/>
          <w:w w:val="105"/>
          <w:sz w:val="20"/>
        </w:rPr>
        <w:t> </w:t>
      </w:r>
      <w:r>
        <w:rPr>
          <w:color w:val="231F20"/>
          <w:w w:val="105"/>
          <w:sz w:val="20"/>
        </w:rPr>
        <w:t>performance</w:t>
      </w:r>
      <w:r>
        <w:rPr>
          <w:color w:val="231F20"/>
          <w:spacing w:val="-8"/>
          <w:w w:val="105"/>
          <w:sz w:val="20"/>
        </w:rPr>
        <w:t> </w:t>
      </w:r>
      <w:r>
        <w:rPr>
          <w:color w:val="231F20"/>
          <w:w w:val="105"/>
          <w:sz w:val="20"/>
        </w:rPr>
        <w:t>(including</w:t>
      </w:r>
      <w:r>
        <w:rPr>
          <w:color w:val="231F20"/>
          <w:spacing w:val="-9"/>
          <w:w w:val="105"/>
          <w:sz w:val="20"/>
        </w:rPr>
        <w:t> </w:t>
      </w:r>
      <w:r>
        <w:rPr>
          <w:color w:val="231F20"/>
          <w:w w:val="105"/>
          <w:sz w:val="20"/>
        </w:rPr>
        <w:t>assessing</w:t>
      </w:r>
      <w:r>
        <w:rPr>
          <w:color w:val="231F20"/>
          <w:spacing w:val="-8"/>
          <w:w w:val="105"/>
          <w:sz w:val="20"/>
        </w:rPr>
        <w:t> </w:t>
      </w:r>
      <w:r>
        <w:rPr>
          <w:color w:val="231F20"/>
          <w:w w:val="105"/>
          <w:sz w:val="20"/>
        </w:rPr>
        <w:t>the</w:t>
      </w:r>
      <w:r>
        <w:rPr>
          <w:color w:val="231F20"/>
          <w:spacing w:val="-9"/>
          <w:w w:val="105"/>
          <w:sz w:val="20"/>
        </w:rPr>
        <w:t> </w:t>
      </w:r>
      <w:r>
        <w:rPr>
          <w:color w:val="231F20"/>
          <w:w w:val="105"/>
          <w:sz w:val="20"/>
        </w:rPr>
        <w:t>degree</w:t>
      </w:r>
      <w:r>
        <w:rPr>
          <w:color w:val="231F20"/>
          <w:spacing w:val="-8"/>
          <w:w w:val="105"/>
          <w:sz w:val="20"/>
        </w:rPr>
        <w:t> </w:t>
      </w:r>
      <w:r>
        <w:rPr>
          <w:color w:val="231F20"/>
          <w:w w:val="105"/>
          <w:sz w:val="20"/>
        </w:rPr>
        <w:t>of</w:t>
      </w:r>
      <w:r>
        <w:rPr>
          <w:color w:val="231F20"/>
          <w:spacing w:val="9"/>
          <w:w w:val="105"/>
          <w:sz w:val="20"/>
        </w:rPr>
        <w:t> </w:t>
      </w:r>
      <w:r>
        <w:rPr>
          <w:color w:val="231F20"/>
          <w:w w:val="105"/>
          <w:sz w:val="20"/>
        </w:rPr>
        <w:t>involvement</w:t>
      </w:r>
      <w:r>
        <w:rPr>
          <w:color w:val="231F20"/>
          <w:spacing w:val="-9"/>
          <w:w w:val="105"/>
          <w:sz w:val="20"/>
        </w:rPr>
        <w:t> </w:t>
      </w:r>
      <w:r>
        <w:rPr>
          <w:color w:val="231F20"/>
          <w:w w:val="105"/>
          <w:sz w:val="20"/>
        </w:rPr>
        <w:t>of the Executive Officer and devotion of efforts in the performance of his or her</w:t>
      </w:r>
      <w:r>
        <w:rPr>
          <w:color w:val="231F20"/>
          <w:spacing w:val="-5"/>
          <w:w w:val="105"/>
          <w:sz w:val="20"/>
        </w:rPr>
        <w:t> </w:t>
      </w:r>
      <w:r>
        <w:rPr>
          <w:color w:val="231F20"/>
          <w:w w:val="105"/>
          <w:sz w:val="20"/>
        </w:rPr>
        <w:t>duties);</w:t>
      </w:r>
    </w:p>
    <w:p>
      <w:pPr>
        <w:pStyle w:val="ListParagraph"/>
        <w:numPr>
          <w:ilvl w:val="0"/>
          <w:numId w:val="10"/>
        </w:numPr>
        <w:tabs>
          <w:tab w:pos="2088" w:val="left" w:leader="none"/>
        </w:tabs>
        <w:spacing w:line="244" w:lineRule="auto" w:before="121" w:after="0"/>
        <w:ind w:left="2087" w:right="1738" w:hanging="200"/>
        <w:jc w:val="left"/>
        <w:rPr>
          <w:sz w:val="20"/>
        </w:rPr>
      </w:pPr>
      <w:r>
        <w:rPr>
          <w:color w:val="231F20"/>
          <w:w w:val="110"/>
          <w:sz w:val="20"/>
        </w:rPr>
        <w:t>Assessing</w:t>
      </w:r>
      <w:r>
        <w:rPr>
          <w:color w:val="231F20"/>
          <w:spacing w:val="-31"/>
          <w:w w:val="110"/>
          <w:sz w:val="20"/>
        </w:rPr>
        <w:t> </w:t>
      </w:r>
      <w:r>
        <w:rPr>
          <w:color w:val="231F20"/>
          <w:w w:val="110"/>
          <w:sz w:val="20"/>
        </w:rPr>
        <w:t>the</w:t>
      </w:r>
      <w:r>
        <w:rPr>
          <w:color w:val="231F20"/>
          <w:spacing w:val="-30"/>
          <w:w w:val="110"/>
          <w:sz w:val="20"/>
        </w:rPr>
        <w:t> </w:t>
      </w:r>
      <w:r>
        <w:rPr>
          <w:color w:val="231F20"/>
          <w:w w:val="110"/>
          <w:sz w:val="20"/>
        </w:rPr>
        <w:t>Executive</w:t>
      </w:r>
      <w:r>
        <w:rPr>
          <w:color w:val="231F20"/>
          <w:spacing w:val="-31"/>
          <w:w w:val="110"/>
          <w:sz w:val="20"/>
        </w:rPr>
        <w:t> </w:t>
      </w:r>
      <w:r>
        <w:rPr>
          <w:color w:val="231F20"/>
          <w:spacing w:val="-3"/>
          <w:w w:val="110"/>
          <w:sz w:val="20"/>
        </w:rPr>
        <w:t>Officer’s</w:t>
      </w:r>
      <w:r>
        <w:rPr>
          <w:color w:val="231F20"/>
          <w:spacing w:val="-30"/>
          <w:w w:val="110"/>
          <w:sz w:val="20"/>
        </w:rPr>
        <w:t> </w:t>
      </w:r>
      <w:r>
        <w:rPr>
          <w:color w:val="231F20"/>
          <w:w w:val="110"/>
          <w:sz w:val="20"/>
        </w:rPr>
        <w:t>ability</w:t>
      </w:r>
      <w:r>
        <w:rPr>
          <w:color w:val="231F20"/>
          <w:spacing w:val="-31"/>
          <w:w w:val="110"/>
          <w:sz w:val="20"/>
        </w:rPr>
        <w:t> </w:t>
      </w:r>
      <w:r>
        <w:rPr>
          <w:color w:val="231F20"/>
          <w:w w:val="110"/>
          <w:sz w:val="20"/>
        </w:rPr>
        <w:t>to</w:t>
      </w:r>
      <w:r>
        <w:rPr>
          <w:color w:val="231F20"/>
          <w:spacing w:val="-30"/>
          <w:w w:val="110"/>
          <w:sz w:val="20"/>
        </w:rPr>
        <w:t> </w:t>
      </w:r>
      <w:r>
        <w:rPr>
          <w:color w:val="231F20"/>
          <w:spacing w:val="-3"/>
          <w:w w:val="110"/>
          <w:sz w:val="20"/>
        </w:rPr>
        <w:t>work</w:t>
      </w:r>
      <w:r>
        <w:rPr>
          <w:color w:val="231F20"/>
          <w:spacing w:val="-31"/>
          <w:w w:val="110"/>
          <w:sz w:val="20"/>
        </w:rPr>
        <w:t> </w:t>
      </w:r>
      <w:r>
        <w:rPr>
          <w:color w:val="231F20"/>
          <w:w w:val="110"/>
          <w:sz w:val="20"/>
        </w:rPr>
        <w:t>in</w:t>
      </w:r>
      <w:r>
        <w:rPr>
          <w:color w:val="231F20"/>
          <w:spacing w:val="-30"/>
          <w:w w:val="110"/>
          <w:sz w:val="20"/>
        </w:rPr>
        <w:t> </w:t>
      </w:r>
      <w:r>
        <w:rPr>
          <w:color w:val="231F20"/>
          <w:w w:val="110"/>
          <w:sz w:val="20"/>
        </w:rPr>
        <w:t>coordination</w:t>
      </w:r>
      <w:r>
        <w:rPr>
          <w:color w:val="231F20"/>
          <w:spacing w:val="-31"/>
          <w:w w:val="110"/>
          <w:sz w:val="20"/>
        </w:rPr>
        <w:t> </w:t>
      </w:r>
      <w:r>
        <w:rPr>
          <w:color w:val="231F20"/>
          <w:w w:val="110"/>
          <w:sz w:val="20"/>
        </w:rPr>
        <w:t>and</w:t>
      </w:r>
      <w:r>
        <w:rPr>
          <w:color w:val="231F20"/>
          <w:spacing w:val="-30"/>
          <w:w w:val="110"/>
          <w:sz w:val="20"/>
        </w:rPr>
        <w:t> </w:t>
      </w:r>
      <w:r>
        <w:rPr>
          <w:color w:val="231F20"/>
          <w:w w:val="110"/>
          <w:sz w:val="20"/>
        </w:rPr>
        <w:t>cooperation</w:t>
      </w:r>
      <w:r>
        <w:rPr>
          <w:color w:val="231F20"/>
          <w:spacing w:val="-31"/>
          <w:w w:val="110"/>
          <w:sz w:val="20"/>
        </w:rPr>
        <w:t> </w:t>
      </w:r>
      <w:r>
        <w:rPr>
          <w:color w:val="231F20"/>
          <w:w w:val="110"/>
          <w:sz w:val="20"/>
        </w:rPr>
        <w:t>with</w:t>
      </w:r>
      <w:r>
        <w:rPr>
          <w:color w:val="231F20"/>
          <w:spacing w:val="-30"/>
          <w:w w:val="110"/>
          <w:sz w:val="20"/>
        </w:rPr>
        <w:t> </w:t>
      </w:r>
      <w:r>
        <w:rPr>
          <w:color w:val="231F20"/>
          <w:w w:val="110"/>
          <w:sz w:val="20"/>
        </w:rPr>
        <w:t>other employees of the</w:t>
      </w:r>
      <w:r>
        <w:rPr>
          <w:color w:val="231F20"/>
          <w:spacing w:val="-3"/>
          <w:w w:val="110"/>
          <w:sz w:val="20"/>
        </w:rPr>
        <w:t> </w:t>
      </w:r>
      <w:r>
        <w:rPr>
          <w:color w:val="231F20"/>
          <w:w w:val="110"/>
          <w:sz w:val="20"/>
        </w:rPr>
        <w:t>Company;</w:t>
      </w:r>
    </w:p>
    <w:p>
      <w:pPr>
        <w:pStyle w:val="ListParagraph"/>
        <w:numPr>
          <w:ilvl w:val="0"/>
          <w:numId w:val="10"/>
        </w:numPr>
        <w:tabs>
          <w:tab w:pos="2088" w:val="left" w:leader="none"/>
        </w:tabs>
        <w:spacing w:line="240" w:lineRule="auto" w:before="122" w:after="0"/>
        <w:ind w:left="2087" w:right="0" w:hanging="200"/>
        <w:jc w:val="left"/>
        <w:rPr>
          <w:sz w:val="20"/>
        </w:rPr>
      </w:pPr>
      <w:r>
        <w:rPr>
          <w:color w:val="231F20"/>
          <w:w w:val="105"/>
          <w:sz w:val="20"/>
        </w:rPr>
        <w:t>The</w:t>
      </w:r>
      <w:r>
        <w:rPr>
          <w:color w:val="231F20"/>
          <w:spacing w:val="-15"/>
          <w:w w:val="105"/>
          <w:sz w:val="20"/>
        </w:rPr>
        <w:t> </w:t>
      </w:r>
      <w:r>
        <w:rPr>
          <w:color w:val="231F20"/>
          <w:w w:val="105"/>
          <w:sz w:val="20"/>
        </w:rPr>
        <w:t>Executive</w:t>
      </w:r>
      <w:r>
        <w:rPr>
          <w:color w:val="231F20"/>
          <w:spacing w:val="-14"/>
          <w:w w:val="105"/>
          <w:sz w:val="20"/>
        </w:rPr>
        <w:t> </w:t>
      </w:r>
      <w:r>
        <w:rPr>
          <w:color w:val="231F20"/>
          <w:spacing w:val="-3"/>
          <w:w w:val="105"/>
          <w:sz w:val="20"/>
        </w:rPr>
        <w:t>Officer’s</w:t>
      </w:r>
      <w:r>
        <w:rPr>
          <w:color w:val="231F20"/>
          <w:spacing w:val="-15"/>
          <w:w w:val="105"/>
          <w:sz w:val="20"/>
        </w:rPr>
        <w:t> </w:t>
      </w:r>
      <w:r>
        <w:rPr>
          <w:color w:val="231F20"/>
          <w:w w:val="105"/>
          <w:sz w:val="20"/>
        </w:rPr>
        <w:t>contribution</w:t>
      </w:r>
      <w:r>
        <w:rPr>
          <w:color w:val="231F20"/>
          <w:spacing w:val="-14"/>
          <w:w w:val="105"/>
          <w:sz w:val="20"/>
        </w:rPr>
        <w:t> </w:t>
      </w:r>
      <w:r>
        <w:rPr>
          <w:color w:val="231F20"/>
          <w:w w:val="105"/>
          <w:sz w:val="20"/>
        </w:rPr>
        <w:t>to</w:t>
      </w:r>
      <w:r>
        <w:rPr>
          <w:color w:val="231F20"/>
          <w:spacing w:val="-14"/>
          <w:w w:val="105"/>
          <w:sz w:val="20"/>
        </w:rPr>
        <w:t> </w:t>
      </w:r>
      <w:r>
        <w:rPr>
          <w:color w:val="231F20"/>
          <w:w w:val="105"/>
          <w:sz w:val="20"/>
        </w:rPr>
        <w:t>appropriate</w:t>
      </w:r>
      <w:r>
        <w:rPr>
          <w:color w:val="231F20"/>
          <w:spacing w:val="-15"/>
          <w:w w:val="105"/>
          <w:sz w:val="20"/>
        </w:rPr>
        <w:t> </w:t>
      </w:r>
      <w:r>
        <w:rPr>
          <w:color w:val="231F20"/>
          <w:w w:val="105"/>
          <w:sz w:val="20"/>
        </w:rPr>
        <w:t>control</w:t>
      </w:r>
      <w:r>
        <w:rPr>
          <w:color w:val="231F20"/>
          <w:spacing w:val="-14"/>
          <w:w w:val="105"/>
          <w:sz w:val="20"/>
        </w:rPr>
        <w:t> </w:t>
      </w:r>
      <w:r>
        <w:rPr>
          <w:color w:val="231F20"/>
          <w:w w:val="105"/>
          <w:sz w:val="20"/>
        </w:rPr>
        <w:t>environment</w:t>
      </w:r>
      <w:r>
        <w:rPr>
          <w:color w:val="231F20"/>
          <w:spacing w:val="-15"/>
          <w:w w:val="105"/>
          <w:sz w:val="20"/>
        </w:rPr>
        <w:t> </w:t>
      </w:r>
      <w:r>
        <w:rPr>
          <w:color w:val="231F20"/>
          <w:w w:val="105"/>
          <w:sz w:val="20"/>
        </w:rPr>
        <w:t>and</w:t>
      </w:r>
      <w:r>
        <w:rPr>
          <w:color w:val="231F20"/>
          <w:spacing w:val="-14"/>
          <w:w w:val="105"/>
          <w:sz w:val="20"/>
        </w:rPr>
        <w:t> </w:t>
      </w:r>
      <w:r>
        <w:rPr>
          <w:color w:val="231F20"/>
          <w:w w:val="105"/>
          <w:sz w:val="20"/>
        </w:rPr>
        <w:t>ethical</w:t>
      </w:r>
      <w:r>
        <w:rPr>
          <w:color w:val="231F20"/>
          <w:spacing w:val="-14"/>
          <w:w w:val="105"/>
          <w:sz w:val="20"/>
        </w:rPr>
        <w:t> </w:t>
      </w:r>
      <w:r>
        <w:rPr>
          <w:color w:val="231F20"/>
          <w:w w:val="105"/>
          <w:sz w:val="20"/>
        </w:rPr>
        <w:t>environment.</w:t>
      </w:r>
    </w:p>
    <w:p>
      <w:pPr>
        <w:pStyle w:val="BodyText"/>
        <w:spacing w:before="3"/>
        <w:rPr>
          <w:sz w:val="21"/>
        </w:rPr>
      </w:pPr>
    </w:p>
    <w:p>
      <w:pPr>
        <w:pStyle w:val="ListParagraph"/>
        <w:numPr>
          <w:ilvl w:val="0"/>
          <w:numId w:val="4"/>
        </w:numPr>
        <w:tabs>
          <w:tab w:pos="1489" w:val="left" w:leader="none"/>
          <w:tab w:pos="1490" w:val="left" w:leader="none"/>
        </w:tabs>
        <w:spacing w:line="240" w:lineRule="auto" w:before="1" w:after="0"/>
        <w:ind w:left="1489" w:right="0" w:hanging="400"/>
        <w:jc w:val="left"/>
        <w:rPr>
          <w:b/>
          <w:sz w:val="20"/>
        </w:rPr>
      </w:pPr>
      <w:r>
        <w:rPr>
          <w:b/>
          <w:color w:val="231F20"/>
          <w:sz w:val="20"/>
          <w:u w:val="single" w:color="231F20"/>
        </w:rPr>
        <w:t>Special Cash</w:t>
      </w:r>
      <w:r>
        <w:rPr>
          <w:b/>
          <w:color w:val="231F20"/>
          <w:spacing w:val="-3"/>
          <w:sz w:val="20"/>
          <w:u w:val="single" w:color="231F20"/>
        </w:rPr>
        <w:t> </w:t>
      </w:r>
      <w:r>
        <w:rPr>
          <w:b/>
          <w:color w:val="231F20"/>
          <w:sz w:val="20"/>
          <w:u w:val="single" w:color="231F20"/>
        </w:rPr>
        <w:t>Bonus</w:t>
      </w:r>
    </w:p>
    <w:p>
      <w:pPr>
        <w:pStyle w:val="BodyText"/>
        <w:spacing w:line="244" w:lineRule="auto" w:before="169"/>
        <w:ind w:left="1489" w:right="1371"/>
      </w:pPr>
      <w:r>
        <w:rPr>
          <w:color w:val="231F20"/>
          <w:w w:val="110"/>
        </w:rPr>
        <w:t>In</w:t>
      </w:r>
      <w:r>
        <w:rPr>
          <w:color w:val="231F20"/>
          <w:spacing w:val="-24"/>
          <w:w w:val="110"/>
        </w:rPr>
        <w:t> </w:t>
      </w:r>
      <w:r>
        <w:rPr>
          <w:color w:val="231F20"/>
          <w:w w:val="110"/>
        </w:rPr>
        <w:t>addition</w:t>
      </w:r>
      <w:r>
        <w:rPr>
          <w:color w:val="231F20"/>
          <w:spacing w:val="-23"/>
          <w:w w:val="110"/>
        </w:rPr>
        <w:t> </w:t>
      </w:r>
      <w:r>
        <w:rPr>
          <w:color w:val="231F20"/>
          <w:w w:val="110"/>
        </w:rPr>
        <w:t>to</w:t>
      </w:r>
      <w:r>
        <w:rPr>
          <w:color w:val="231F20"/>
          <w:spacing w:val="-24"/>
          <w:w w:val="110"/>
        </w:rPr>
        <w:t> </w:t>
      </w:r>
      <w:r>
        <w:rPr>
          <w:color w:val="231F20"/>
          <w:w w:val="110"/>
        </w:rPr>
        <w:t>the</w:t>
      </w:r>
      <w:r>
        <w:rPr>
          <w:color w:val="231F20"/>
          <w:spacing w:val="-23"/>
          <w:w w:val="110"/>
        </w:rPr>
        <w:t> </w:t>
      </w:r>
      <w:r>
        <w:rPr>
          <w:color w:val="231F20"/>
          <w:spacing w:val="-3"/>
          <w:w w:val="110"/>
        </w:rPr>
        <w:t>Annual</w:t>
      </w:r>
      <w:r>
        <w:rPr>
          <w:color w:val="231F20"/>
          <w:spacing w:val="-24"/>
          <w:w w:val="110"/>
        </w:rPr>
        <w:t> </w:t>
      </w:r>
      <w:r>
        <w:rPr>
          <w:color w:val="231F20"/>
          <w:w w:val="110"/>
        </w:rPr>
        <w:t>Cash</w:t>
      </w:r>
      <w:r>
        <w:rPr>
          <w:color w:val="231F20"/>
          <w:spacing w:val="-23"/>
          <w:w w:val="110"/>
        </w:rPr>
        <w:t> </w:t>
      </w:r>
      <w:r>
        <w:rPr>
          <w:color w:val="231F20"/>
          <w:spacing w:val="-3"/>
          <w:w w:val="110"/>
        </w:rPr>
        <w:t>Bonus,</w:t>
      </w:r>
      <w:r>
        <w:rPr>
          <w:color w:val="231F20"/>
          <w:spacing w:val="-24"/>
          <w:w w:val="110"/>
        </w:rPr>
        <w:t> </w:t>
      </w:r>
      <w:r>
        <w:rPr>
          <w:color w:val="231F20"/>
          <w:w w:val="110"/>
        </w:rPr>
        <w:t>under</w:t>
      </w:r>
      <w:r>
        <w:rPr>
          <w:color w:val="231F20"/>
          <w:spacing w:val="-23"/>
          <w:w w:val="110"/>
        </w:rPr>
        <w:t> </w:t>
      </w:r>
      <w:r>
        <w:rPr>
          <w:color w:val="231F20"/>
          <w:w w:val="110"/>
        </w:rPr>
        <w:t>special</w:t>
      </w:r>
      <w:r>
        <w:rPr>
          <w:color w:val="231F20"/>
          <w:spacing w:val="-24"/>
          <w:w w:val="110"/>
        </w:rPr>
        <w:t> </w:t>
      </w:r>
      <w:r>
        <w:rPr>
          <w:color w:val="231F20"/>
          <w:w w:val="110"/>
        </w:rPr>
        <w:t>circumstances,</w:t>
      </w:r>
      <w:r>
        <w:rPr>
          <w:color w:val="231F20"/>
          <w:spacing w:val="-23"/>
          <w:w w:val="110"/>
        </w:rPr>
        <w:t> </w:t>
      </w:r>
      <w:r>
        <w:rPr>
          <w:color w:val="231F20"/>
          <w:w w:val="110"/>
        </w:rPr>
        <w:t>the</w:t>
      </w:r>
      <w:r>
        <w:rPr>
          <w:color w:val="231F20"/>
          <w:spacing w:val="-24"/>
          <w:w w:val="110"/>
        </w:rPr>
        <w:t> </w:t>
      </w:r>
      <w:r>
        <w:rPr>
          <w:color w:val="231F20"/>
          <w:w w:val="110"/>
        </w:rPr>
        <w:t>Compensation</w:t>
      </w:r>
      <w:r>
        <w:rPr>
          <w:color w:val="231F20"/>
          <w:spacing w:val="-23"/>
          <w:w w:val="110"/>
        </w:rPr>
        <w:t> </w:t>
      </w:r>
      <w:r>
        <w:rPr>
          <w:color w:val="231F20"/>
          <w:w w:val="110"/>
        </w:rPr>
        <w:t>Committee</w:t>
      </w:r>
      <w:r>
        <w:rPr>
          <w:color w:val="231F20"/>
          <w:spacing w:val="-24"/>
          <w:w w:val="110"/>
        </w:rPr>
        <w:t> </w:t>
      </w:r>
      <w:r>
        <w:rPr>
          <w:color w:val="231F20"/>
          <w:w w:val="110"/>
        </w:rPr>
        <w:t>and the</w:t>
      </w:r>
      <w:r>
        <w:rPr>
          <w:color w:val="231F20"/>
          <w:spacing w:val="-27"/>
          <w:w w:val="110"/>
        </w:rPr>
        <w:t> </w:t>
      </w:r>
      <w:r>
        <w:rPr>
          <w:color w:val="231F20"/>
          <w:w w:val="110"/>
        </w:rPr>
        <w:t>Board</w:t>
      </w:r>
      <w:r>
        <w:rPr>
          <w:color w:val="231F20"/>
          <w:spacing w:val="-27"/>
          <w:w w:val="110"/>
        </w:rPr>
        <w:t> </w:t>
      </w:r>
      <w:r>
        <w:rPr>
          <w:color w:val="231F20"/>
          <w:spacing w:val="-3"/>
          <w:w w:val="110"/>
        </w:rPr>
        <w:t>may</w:t>
      </w:r>
      <w:r>
        <w:rPr>
          <w:color w:val="231F20"/>
          <w:spacing w:val="-27"/>
          <w:w w:val="110"/>
        </w:rPr>
        <w:t> </w:t>
      </w:r>
      <w:r>
        <w:rPr>
          <w:color w:val="231F20"/>
          <w:w w:val="110"/>
        </w:rPr>
        <w:t>determine</w:t>
      </w:r>
      <w:r>
        <w:rPr>
          <w:color w:val="231F20"/>
          <w:spacing w:val="-26"/>
          <w:w w:val="110"/>
        </w:rPr>
        <w:t> </w:t>
      </w:r>
      <w:r>
        <w:rPr>
          <w:color w:val="231F20"/>
          <w:w w:val="110"/>
        </w:rPr>
        <w:t>that</w:t>
      </w:r>
      <w:r>
        <w:rPr>
          <w:color w:val="231F20"/>
          <w:spacing w:val="-27"/>
          <w:w w:val="110"/>
        </w:rPr>
        <w:t> </w:t>
      </w:r>
      <w:r>
        <w:rPr>
          <w:color w:val="231F20"/>
          <w:w w:val="110"/>
        </w:rPr>
        <w:t>an</w:t>
      </w:r>
      <w:r>
        <w:rPr>
          <w:color w:val="231F20"/>
          <w:spacing w:val="-27"/>
          <w:w w:val="110"/>
        </w:rPr>
        <w:t> </w:t>
      </w:r>
      <w:r>
        <w:rPr>
          <w:color w:val="231F20"/>
          <w:w w:val="110"/>
        </w:rPr>
        <w:t>Executive</w:t>
      </w:r>
      <w:r>
        <w:rPr>
          <w:color w:val="231F20"/>
          <w:spacing w:val="-27"/>
          <w:w w:val="110"/>
        </w:rPr>
        <w:t> </w:t>
      </w:r>
      <w:r>
        <w:rPr>
          <w:color w:val="231F20"/>
          <w:w w:val="110"/>
        </w:rPr>
        <w:t>Officer</w:t>
      </w:r>
      <w:r>
        <w:rPr>
          <w:color w:val="231F20"/>
          <w:spacing w:val="-26"/>
          <w:w w:val="110"/>
        </w:rPr>
        <w:t> </w:t>
      </w:r>
      <w:r>
        <w:rPr>
          <w:color w:val="231F20"/>
          <w:w w:val="110"/>
        </w:rPr>
        <w:t>is</w:t>
      </w:r>
      <w:r>
        <w:rPr>
          <w:color w:val="231F20"/>
          <w:spacing w:val="-27"/>
          <w:w w:val="110"/>
        </w:rPr>
        <w:t> </w:t>
      </w:r>
      <w:r>
        <w:rPr>
          <w:color w:val="231F20"/>
          <w:spacing w:val="-3"/>
          <w:w w:val="110"/>
        </w:rPr>
        <w:t>also</w:t>
      </w:r>
      <w:r>
        <w:rPr>
          <w:color w:val="231F20"/>
          <w:spacing w:val="-27"/>
          <w:w w:val="110"/>
        </w:rPr>
        <w:t> </w:t>
      </w:r>
      <w:r>
        <w:rPr>
          <w:color w:val="231F20"/>
          <w:w w:val="110"/>
        </w:rPr>
        <w:t>entitled</w:t>
      </w:r>
      <w:r>
        <w:rPr>
          <w:color w:val="231F20"/>
          <w:spacing w:val="-27"/>
          <w:w w:val="110"/>
        </w:rPr>
        <w:t> </w:t>
      </w:r>
      <w:r>
        <w:rPr>
          <w:color w:val="231F20"/>
          <w:w w:val="110"/>
        </w:rPr>
        <w:t>to</w:t>
      </w:r>
      <w:r>
        <w:rPr>
          <w:color w:val="231F20"/>
          <w:spacing w:val="-26"/>
          <w:w w:val="110"/>
        </w:rPr>
        <w:t> </w:t>
      </w:r>
      <w:r>
        <w:rPr>
          <w:color w:val="231F20"/>
          <w:w w:val="110"/>
        </w:rPr>
        <w:t>other</w:t>
      </w:r>
      <w:r>
        <w:rPr>
          <w:color w:val="231F20"/>
          <w:spacing w:val="-27"/>
          <w:w w:val="110"/>
        </w:rPr>
        <w:t> </w:t>
      </w:r>
      <w:r>
        <w:rPr>
          <w:color w:val="231F20"/>
          <w:w w:val="110"/>
        </w:rPr>
        <w:t>cash</w:t>
      </w:r>
      <w:r>
        <w:rPr>
          <w:color w:val="231F20"/>
          <w:spacing w:val="-27"/>
          <w:w w:val="110"/>
        </w:rPr>
        <w:t> </w:t>
      </w:r>
      <w:r>
        <w:rPr>
          <w:color w:val="231F20"/>
          <w:w w:val="110"/>
        </w:rPr>
        <w:t>bonuses</w:t>
      </w:r>
      <w:r>
        <w:rPr>
          <w:color w:val="231F20"/>
          <w:spacing w:val="-27"/>
          <w:w w:val="110"/>
        </w:rPr>
        <w:t> </w:t>
      </w:r>
      <w:r>
        <w:rPr>
          <w:color w:val="231F20"/>
          <w:w w:val="110"/>
        </w:rPr>
        <w:t>in</w:t>
      </w:r>
      <w:r>
        <w:rPr>
          <w:color w:val="231F20"/>
          <w:spacing w:val="-26"/>
          <w:w w:val="110"/>
        </w:rPr>
        <w:t> </w:t>
      </w:r>
      <w:r>
        <w:rPr>
          <w:color w:val="231F20"/>
          <w:w w:val="110"/>
        </w:rPr>
        <w:t>recognition of</w:t>
      </w:r>
      <w:r>
        <w:rPr>
          <w:color w:val="231F20"/>
          <w:spacing w:val="-30"/>
          <w:w w:val="110"/>
        </w:rPr>
        <w:t> </w:t>
      </w:r>
      <w:r>
        <w:rPr>
          <w:color w:val="231F20"/>
          <w:w w:val="110"/>
        </w:rPr>
        <w:t>a</w:t>
      </w:r>
      <w:r>
        <w:rPr>
          <w:color w:val="231F20"/>
          <w:spacing w:val="-37"/>
          <w:w w:val="110"/>
        </w:rPr>
        <w:t> </w:t>
      </w:r>
      <w:r>
        <w:rPr>
          <w:color w:val="231F20"/>
          <w:w w:val="110"/>
        </w:rPr>
        <w:t>Significant</w:t>
      </w:r>
      <w:r>
        <w:rPr>
          <w:color w:val="231F20"/>
          <w:spacing w:val="-37"/>
          <w:w w:val="110"/>
        </w:rPr>
        <w:t> </w:t>
      </w:r>
      <w:r>
        <w:rPr>
          <w:color w:val="231F20"/>
          <w:w w:val="110"/>
        </w:rPr>
        <w:t>Achievement</w:t>
      </w:r>
      <w:r>
        <w:rPr>
          <w:color w:val="231F20"/>
          <w:spacing w:val="-37"/>
          <w:w w:val="110"/>
        </w:rPr>
        <w:t> </w:t>
      </w:r>
      <w:r>
        <w:rPr>
          <w:color w:val="231F20"/>
          <w:w w:val="110"/>
        </w:rPr>
        <w:t>such</w:t>
      </w:r>
      <w:r>
        <w:rPr>
          <w:color w:val="231F20"/>
          <w:spacing w:val="-37"/>
          <w:w w:val="110"/>
        </w:rPr>
        <w:t> </w:t>
      </w:r>
      <w:r>
        <w:rPr>
          <w:color w:val="231F20"/>
          <w:w w:val="110"/>
        </w:rPr>
        <w:t>as:</w:t>
      </w:r>
      <w:r>
        <w:rPr>
          <w:color w:val="231F20"/>
          <w:spacing w:val="-37"/>
          <w:w w:val="110"/>
        </w:rPr>
        <w:t> </w:t>
      </w:r>
      <w:r>
        <w:rPr>
          <w:color w:val="231F20"/>
          <w:spacing w:val="-4"/>
          <w:w w:val="110"/>
        </w:rPr>
        <w:t>merger,</w:t>
      </w:r>
      <w:r>
        <w:rPr>
          <w:color w:val="231F20"/>
          <w:spacing w:val="-37"/>
          <w:w w:val="110"/>
        </w:rPr>
        <w:t> </w:t>
      </w:r>
      <w:r>
        <w:rPr>
          <w:color w:val="231F20"/>
          <w:w w:val="110"/>
        </w:rPr>
        <w:t>significant</w:t>
      </w:r>
      <w:r>
        <w:rPr>
          <w:color w:val="231F20"/>
          <w:spacing w:val="-38"/>
          <w:w w:val="110"/>
        </w:rPr>
        <w:t> </w:t>
      </w:r>
      <w:r>
        <w:rPr>
          <w:color w:val="231F20"/>
          <w:w w:val="110"/>
        </w:rPr>
        <w:t>acquisition,</w:t>
      </w:r>
      <w:r>
        <w:rPr>
          <w:color w:val="231F20"/>
          <w:spacing w:val="-37"/>
          <w:w w:val="110"/>
        </w:rPr>
        <w:t> </w:t>
      </w:r>
      <w:r>
        <w:rPr>
          <w:color w:val="231F20"/>
          <w:w w:val="110"/>
        </w:rPr>
        <w:t>consolidation</w:t>
      </w:r>
      <w:r>
        <w:rPr>
          <w:color w:val="231F20"/>
          <w:spacing w:val="-37"/>
          <w:w w:val="110"/>
        </w:rPr>
        <w:t> </w:t>
      </w:r>
      <w:r>
        <w:rPr>
          <w:color w:val="231F20"/>
          <w:w w:val="110"/>
        </w:rPr>
        <w:t>or</w:t>
      </w:r>
      <w:r>
        <w:rPr>
          <w:color w:val="231F20"/>
          <w:spacing w:val="-37"/>
          <w:w w:val="110"/>
        </w:rPr>
        <w:t> </w:t>
      </w:r>
      <w:r>
        <w:rPr>
          <w:color w:val="231F20"/>
          <w:w w:val="110"/>
        </w:rPr>
        <w:t>acquisition</w:t>
      </w:r>
      <w:r>
        <w:rPr>
          <w:color w:val="231F20"/>
          <w:spacing w:val="-37"/>
          <w:w w:val="110"/>
        </w:rPr>
        <w:t> </w:t>
      </w:r>
      <w:r>
        <w:rPr>
          <w:color w:val="231F20"/>
          <w:w w:val="110"/>
        </w:rPr>
        <w:t>of</w:t>
      </w:r>
      <w:r>
        <w:rPr>
          <w:color w:val="231F20"/>
          <w:spacing w:val="-29"/>
          <w:w w:val="110"/>
        </w:rPr>
        <w:t> </w:t>
      </w:r>
      <w:r>
        <w:rPr>
          <w:color w:val="231F20"/>
          <w:w w:val="110"/>
        </w:rPr>
        <w:t>the Company with, by or into another corporation or entity; private placements to a strategic investor; public</w:t>
      </w:r>
      <w:r>
        <w:rPr>
          <w:color w:val="231F20"/>
          <w:spacing w:val="-9"/>
          <w:w w:val="110"/>
        </w:rPr>
        <w:t> </w:t>
      </w:r>
      <w:r>
        <w:rPr>
          <w:color w:val="231F20"/>
          <w:w w:val="110"/>
        </w:rPr>
        <w:t>offering</w:t>
      </w:r>
      <w:r>
        <w:rPr>
          <w:color w:val="231F20"/>
          <w:spacing w:val="-8"/>
          <w:w w:val="110"/>
        </w:rPr>
        <w:t> </w:t>
      </w:r>
      <w:r>
        <w:rPr>
          <w:color w:val="231F20"/>
          <w:w w:val="110"/>
        </w:rPr>
        <w:t>in</w:t>
      </w:r>
      <w:r>
        <w:rPr>
          <w:color w:val="231F20"/>
          <w:spacing w:val="-9"/>
          <w:w w:val="110"/>
        </w:rPr>
        <w:t> </w:t>
      </w:r>
      <w:r>
        <w:rPr>
          <w:color w:val="231F20"/>
          <w:w w:val="110"/>
        </w:rPr>
        <w:t>a</w:t>
      </w:r>
      <w:r>
        <w:rPr>
          <w:color w:val="231F20"/>
          <w:spacing w:val="-8"/>
          <w:w w:val="110"/>
        </w:rPr>
        <w:t> </w:t>
      </w:r>
      <w:r>
        <w:rPr>
          <w:color w:val="231F20"/>
          <w:w w:val="110"/>
        </w:rPr>
        <w:t>sum</w:t>
      </w:r>
      <w:r>
        <w:rPr>
          <w:color w:val="231F20"/>
          <w:spacing w:val="-9"/>
          <w:w w:val="110"/>
        </w:rPr>
        <w:t> </w:t>
      </w:r>
      <w:r>
        <w:rPr>
          <w:color w:val="231F20"/>
          <w:w w:val="110"/>
        </w:rPr>
        <w:t>and</w:t>
      </w:r>
      <w:r>
        <w:rPr>
          <w:color w:val="231F20"/>
          <w:spacing w:val="-8"/>
          <w:w w:val="110"/>
        </w:rPr>
        <w:t> </w:t>
      </w:r>
      <w:r>
        <w:rPr>
          <w:color w:val="231F20"/>
          <w:w w:val="110"/>
        </w:rPr>
        <w:t>a</w:t>
      </w:r>
      <w:r>
        <w:rPr>
          <w:color w:val="231F20"/>
          <w:spacing w:val="-8"/>
          <w:w w:val="110"/>
        </w:rPr>
        <w:t> </w:t>
      </w:r>
      <w:r>
        <w:rPr>
          <w:color w:val="231F20"/>
          <w:spacing w:val="-3"/>
          <w:w w:val="110"/>
        </w:rPr>
        <w:t>valuation</w:t>
      </w:r>
      <w:r>
        <w:rPr>
          <w:color w:val="231F20"/>
          <w:spacing w:val="-9"/>
          <w:w w:val="110"/>
        </w:rPr>
        <w:t> </w:t>
      </w:r>
      <w:r>
        <w:rPr>
          <w:color w:val="231F20"/>
          <w:w w:val="110"/>
        </w:rPr>
        <w:t>predetermined</w:t>
      </w:r>
      <w:r>
        <w:rPr>
          <w:color w:val="231F20"/>
          <w:spacing w:val="-8"/>
          <w:w w:val="110"/>
        </w:rPr>
        <w:t> </w:t>
      </w:r>
      <w:r>
        <w:rPr>
          <w:color w:val="231F20"/>
          <w:w w:val="110"/>
        </w:rPr>
        <w:t>by</w:t>
      </w:r>
      <w:r>
        <w:rPr>
          <w:color w:val="231F20"/>
          <w:spacing w:val="-9"/>
          <w:w w:val="110"/>
        </w:rPr>
        <w:t> </w:t>
      </w:r>
      <w:r>
        <w:rPr>
          <w:color w:val="231F20"/>
          <w:w w:val="110"/>
        </w:rPr>
        <w:t>the</w:t>
      </w:r>
      <w:r>
        <w:rPr>
          <w:color w:val="231F20"/>
          <w:spacing w:val="-8"/>
          <w:w w:val="110"/>
        </w:rPr>
        <w:t> </w:t>
      </w:r>
      <w:r>
        <w:rPr>
          <w:color w:val="231F20"/>
          <w:w w:val="110"/>
        </w:rPr>
        <w:t>Board:</w:t>
      </w:r>
    </w:p>
    <w:p>
      <w:pPr>
        <w:pStyle w:val="BodyText"/>
        <w:spacing w:line="244" w:lineRule="auto" w:before="164"/>
        <w:ind w:left="1489" w:right="1607"/>
      </w:pPr>
      <w:r>
        <w:rPr>
          <w:b/>
          <w:color w:val="231F20"/>
          <w:w w:val="105"/>
        </w:rPr>
        <w:t>“Significant</w:t>
      </w:r>
      <w:r>
        <w:rPr>
          <w:b/>
          <w:color w:val="231F20"/>
          <w:spacing w:val="-13"/>
          <w:w w:val="105"/>
        </w:rPr>
        <w:t> </w:t>
      </w:r>
      <w:r>
        <w:rPr>
          <w:b/>
          <w:color w:val="231F20"/>
          <w:w w:val="105"/>
        </w:rPr>
        <w:t>Achievement”</w:t>
      </w:r>
      <w:r>
        <w:rPr>
          <w:b/>
          <w:color w:val="231F20"/>
          <w:spacing w:val="-8"/>
          <w:w w:val="105"/>
        </w:rPr>
        <w:t> </w:t>
      </w:r>
      <w:r>
        <w:rPr>
          <w:color w:val="231F20"/>
          <w:w w:val="105"/>
        </w:rPr>
        <w:t>—</w:t>
      </w:r>
      <w:r>
        <w:rPr>
          <w:color w:val="231F20"/>
          <w:spacing w:val="-9"/>
          <w:w w:val="105"/>
        </w:rPr>
        <w:t> </w:t>
      </w:r>
      <w:r>
        <w:rPr>
          <w:color w:val="231F20"/>
          <w:spacing w:val="-3"/>
          <w:w w:val="105"/>
        </w:rPr>
        <w:t>for</w:t>
      </w:r>
      <w:r>
        <w:rPr>
          <w:color w:val="231F20"/>
          <w:spacing w:val="-12"/>
          <w:w w:val="105"/>
        </w:rPr>
        <w:t> </w:t>
      </w:r>
      <w:r>
        <w:rPr>
          <w:color w:val="231F20"/>
          <w:w w:val="105"/>
        </w:rPr>
        <w:t>the</w:t>
      </w:r>
      <w:r>
        <w:rPr>
          <w:color w:val="231F20"/>
          <w:spacing w:val="-13"/>
          <w:w w:val="105"/>
        </w:rPr>
        <w:t> </w:t>
      </w:r>
      <w:r>
        <w:rPr>
          <w:color w:val="231F20"/>
          <w:w w:val="105"/>
        </w:rPr>
        <w:t>purpose</w:t>
      </w:r>
      <w:r>
        <w:rPr>
          <w:color w:val="231F20"/>
          <w:spacing w:val="-12"/>
          <w:w w:val="105"/>
        </w:rPr>
        <w:t> </w:t>
      </w:r>
      <w:r>
        <w:rPr>
          <w:color w:val="231F20"/>
          <w:w w:val="105"/>
        </w:rPr>
        <w:t>of</w:t>
      </w:r>
      <w:r>
        <w:rPr>
          <w:color w:val="231F20"/>
          <w:spacing w:val="3"/>
          <w:w w:val="105"/>
        </w:rPr>
        <w:t> </w:t>
      </w:r>
      <w:r>
        <w:rPr>
          <w:color w:val="231F20"/>
          <w:w w:val="105"/>
        </w:rPr>
        <w:t>this</w:t>
      </w:r>
      <w:r>
        <w:rPr>
          <w:color w:val="231F20"/>
          <w:spacing w:val="-13"/>
          <w:w w:val="105"/>
        </w:rPr>
        <w:t> </w:t>
      </w:r>
      <w:r>
        <w:rPr>
          <w:color w:val="231F20"/>
          <w:w w:val="105"/>
        </w:rPr>
        <w:t>section</w:t>
      </w:r>
      <w:r>
        <w:rPr>
          <w:color w:val="231F20"/>
          <w:spacing w:val="-12"/>
          <w:w w:val="105"/>
        </w:rPr>
        <w:t> </w:t>
      </w:r>
      <w:r>
        <w:rPr>
          <w:color w:val="231F20"/>
          <w:w w:val="105"/>
        </w:rPr>
        <w:t>means</w:t>
      </w:r>
      <w:r>
        <w:rPr>
          <w:color w:val="231F20"/>
          <w:spacing w:val="-12"/>
          <w:w w:val="105"/>
        </w:rPr>
        <w:t> </w:t>
      </w:r>
      <w:r>
        <w:rPr>
          <w:color w:val="231F20"/>
          <w:w w:val="105"/>
        </w:rPr>
        <w:t>an</w:t>
      </w:r>
      <w:r>
        <w:rPr>
          <w:color w:val="231F20"/>
          <w:spacing w:val="-13"/>
          <w:w w:val="105"/>
        </w:rPr>
        <w:t> </w:t>
      </w:r>
      <w:r>
        <w:rPr>
          <w:color w:val="231F20"/>
          <w:w w:val="105"/>
        </w:rPr>
        <w:t>increase</w:t>
      </w:r>
      <w:r>
        <w:rPr>
          <w:color w:val="231F20"/>
          <w:spacing w:val="-12"/>
          <w:w w:val="105"/>
        </w:rPr>
        <w:t> </w:t>
      </w:r>
      <w:r>
        <w:rPr>
          <w:color w:val="231F20"/>
          <w:w w:val="105"/>
        </w:rPr>
        <w:t>of</w:t>
      </w:r>
      <w:r>
        <w:rPr>
          <w:color w:val="231F20"/>
          <w:spacing w:val="3"/>
          <w:w w:val="105"/>
        </w:rPr>
        <w:t> </w:t>
      </w:r>
      <w:r>
        <w:rPr>
          <w:color w:val="231F20"/>
          <w:spacing w:val="-3"/>
          <w:w w:val="105"/>
        </w:rPr>
        <w:t>at</w:t>
      </w:r>
      <w:r>
        <w:rPr>
          <w:color w:val="231F20"/>
          <w:spacing w:val="-13"/>
          <w:w w:val="105"/>
        </w:rPr>
        <w:t> </w:t>
      </w:r>
      <w:r>
        <w:rPr>
          <w:color w:val="231F20"/>
          <w:w w:val="105"/>
        </w:rPr>
        <w:t>least</w:t>
      </w:r>
      <w:r>
        <w:rPr>
          <w:color w:val="231F20"/>
          <w:spacing w:val="-12"/>
          <w:w w:val="105"/>
        </w:rPr>
        <w:t> </w:t>
      </w:r>
      <w:r>
        <w:rPr>
          <w:color w:val="231F20"/>
          <w:w w:val="105"/>
        </w:rPr>
        <w:t>20%</w:t>
      </w:r>
      <w:r>
        <w:rPr>
          <w:color w:val="231F20"/>
          <w:spacing w:val="-13"/>
          <w:w w:val="105"/>
        </w:rPr>
        <w:t> </w:t>
      </w:r>
      <w:r>
        <w:rPr>
          <w:color w:val="231F20"/>
          <w:w w:val="105"/>
        </w:rPr>
        <w:t>of</w:t>
      </w:r>
      <w:r>
        <w:rPr>
          <w:color w:val="231F20"/>
          <w:spacing w:val="3"/>
          <w:w w:val="105"/>
        </w:rPr>
        <w:t> </w:t>
      </w:r>
      <w:r>
        <w:rPr>
          <w:color w:val="231F20"/>
          <w:w w:val="105"/>
        </w:rPr>
        <w:t>the </w:t>
      </w:r>
      <w:r>
        <w:rPr>
          <w:color w:val="231F20"/>
          <w:spacing w:val="-3"/>
          <w:w w:val="105"/>
        </w:rPr>
        <w:t>Company’s </w:t>
      </w:r>
      <w:r>
        <w:rPr>
          <w:color w:val="231F20"/>
          <w:w w:val="105"/>
        </w:rPr>
        <w:t>equity or </w:t>
      </w:r>
      <w:r>
        <w:rPr>
          <w:color w:val="231F20"/>
          <w:spacing w:val="-3"/>
          <w:w w:val="105"/>
        </w:rPr>
        <w:t>Company’s </w:t>
      </w:r>
      <w:r>
        <w:rPr>
          <w:color w:val="231F20"/>
          <w:w w:val="105"/>
        </w:rPr>
        <w:t>market </w:t>
      </w:r>
      <w:r>
        <w:rPr>
          <w:color w:val="231F20"/>
          <w:spacing w:val="-3"/>
          <w:w w:val="105"/>
        </w:rPr>
        <w:t>value </w:t>
      </w:r>
      <w:r>
        <w:rPr>
          <w:color w:val="231F20"/>
          <w:w w:val="105"/>
        </w:rPr>
        <w:t>or </w:t>
      </w:r>
      <w:r>
        <w:rPr>
          <w:color w:val="231F20"/>
          <w:spacing w:val="-3"/>
          <w:w w:val="105"/>
        </w:rPr>
        <w:t>Company’s annual</w:t>
      </w:r>
      <w:r>
        <w:rPr>
          <w:color w:val="231F20"/>
          <w:spacing w:val="-8"/>
          <w:w w:val="105"/>
        </w:rPr>
        <w:t> </w:t>
      </w:r>
      <w:r>
        <w:rPr>
          <w:color w:val="231F20"/>
          <w:spacing w:val="-4"/>
          <w:w w:val="105"/>
        </w:rPr>
        <w:t>revenue.</w:t>
      </w:r>
    </w:p>
    <w:p>
      <w:pPr>
        <w:pStyle w:val="BodyText"/>
        <w:spacing w:line="244" w:lineRule="auto" w:before="161"/>
        <w:ind w:left="1489" w:right="1322"/>
      </w:pPr>
      <w:r>
        <w:rPr>
          <w:color w:val="231F20"/>
          <w:w w:val="105"/>
        </w:rPr>
        <w:t>The total amount of Special Cash Bonuses awarded to an Executive Officer for any given calendar year may be up to six (6) times of the Base Salary of the CEO and three (3) times of the Base Salary of</w:t>
      </w:r>
    </w:p>
    <w:p>
      <w:pPr>
        <w:pStyle w:val="BodyText"/>
        <w:spacing w:before="2"/>
        <w:ind w:left="1489"/>
      </w:pPr>
      <w:r>
        <w:rPr>
          <w:color w:val="231F20"/>
          <w:w w:val="105"/>
        </w:rPr>
        <w:t>any other Executive Officer.</w:t>
      </w:r>
    </w:p>
    <w:p>
      <w:pPr>
        <w:pStyle w:val="BodyText"/>
        <w:spacing w:before="4"/>
        <w:rPr>
          <w:sz w:val="21"/>
        </w:rPr>
      </w:pPr>
    </w:p>
    <w:p>
      <w:pPr>
        <w:pStyle w:val="ListParagraph"/>
        <w:numPr>
          <w:ilvl w:val="0"/>
          <w:numId w:val="4"/>
        </w:numPr>
        <w:tabs>
          <w:tab w:pos="1490" w:val="left" w:leader="none"/>
        </w:tabs>
        <w:spacing w:line="240" w:lineRule="auto" w:before="0" w:after="0"/>
        <w:ind w:left="1489" w:right="0" w:hanging="400"/>
        <w:jc w:val="left"/>
        <w:rPr>
          <w:b/>
          <w:sz w:val="20"/>
        </w:rPr>
      </w:pPr>
      <w:r>
        <w:rPr>
          <w:b/>
          <w:color w:val="231F20"/>
          <w:sz w:val="20"/>
          <w:u w:val="single" w:color="231F20"/>
        </w:rPr>
        <w:t>Share-Based</w:t>
      </w:r>
      <w:r>
        <w:rPr>
          <w:b/>
          <w:color w:val="231F20"/>
          <w:spacing w:val="-2"/>
          <w:sz w:val="20"/>
          <w:u w:val="single" w:color="231F20"/>
        </w:rPr>
        <w:t> </w:t>
      </w:r>
      <w:r>
        <w:rPr>
          <w:b/>
          <w:color w:val="231F20"/>
          <w:sz w:val="20"/>
          <w:u w:val="single" w:color="231F20"/>
        </w:rPr>
        <w:t>Compensation</w:t>
      </w:r>
    </w:p>
    <w:p>
      <w:pPr>
        <w:pStyle w:val="BodyText"/>
        <w:spacing w:line="244" w:lineRule="auto" w:before="169"/>
        <w:ind w:left="1489" w:right="1386"/>
      </w:pPr>
      <w:r>
        <w:rPr>
          <w:color w:val="231F20"/>
          <w:w w:val="105"/>
        </w:rPr>
        <w:t>The Company shall be entitled to grant its Officers: Options, Restricted Stock Units or any other share- based compensation (“</w:t>
      </w:r>
      <w:r>
        <w:rPr>
          <w:b/>
          <w:color w:val="231F20"/>
          <w:w w:val="105"/>
        </w:rPr>
        <w:t>Share-based Compensation</w:t>
      </w:r>
      <w:r>
        <w:rPr>
          <w:color w:val="231F20"/>
          <w:w w:val="105"/>
        </w:rPr>
        <w:t>”), pursuant to an equity or option plan as adopted or shall be adopted, from time to time, and subject to any applicable law.</w:t>
      </w:r>
    </w:p>
    <w:p>
      <w:pPr>
        <w:pStyle w:val="BodyText"/>
        <w:spacing w:line="244" w:lineRule="auto" w:before="162"/>
        <w:ind w:left="1489" w:right="1322"/>
      </w:pPr>
      <w:r>
        <w:rPr>
          <w:color w:val="231F20"/>
          <w:w w:val="105"/>
        </w:rPr>
        <w:t>The fair value of the Share-based Compensation shall be calculated, at the time of grant, in accordance with the method to be performed in in the Company’s financial statements (“</w:t>
      </w:r>
      <w:r>
        <w:rPr>
          <w:b/>
          <w:color w:val="231F20"/>
          <w:w w:val="105"/>
        </w:rPr>
        <w:t>Fair Value</w:t>
      </w:r>
      <w:r>
        <w:rPr>
          <w:color w:val="231F20"/>
          <w:w w:val="105"/>
        </w:rPr>
        <w:t>”).</w:t>
      </w:r>
    </w:p>
    <w:p>
      <w:pPr>
        <w:pStyle w:val="ListParagraph"/>
        <w:numPr>
          <w:ilvl w:val="1"/>
          <w:numId w:val="4"/>
        </w:numPr>
        <w:tabs>
          <w:tab w:pos="2068" w:val="left" w:leader="none"/>
        </w:tabs>
        <w:spacing w:line="244" w:lineRule="auto" w:before="162" w:after="0"/>
        <w:ind w:left="2067" w:right="1465" w:hanging="579"/>
        <w:jc w:val="left"/>
        <w:rPr>
          <w:sz w:val="20"/>
        </w:rPr>
      </w:pPr>
      <w:r>
        <w:rPr>
          <w:color w:val="231F20"/>
          <w:w w:val="105"/>
          <w:sz w:val="20"/>
        </w:rPr>
        <w:t>The </w:t>
      </w:r>
      <w:r>
        <w:rPr>
          <w:color w:val="231F20"/>
          <w:spacing w:val="-3"/>
          <w:w w:val="105"/>
          <w:sz w:val="20"/>
        </w:rPr>
        <w:t>Fair </w:t>
      </w:r>
      <w:r>
        <w:rPr>
          <w:color w:val="231F20"/>
          <w:spacing w:val="-5"/>
          <w:w w:val="105"/>
          <w:sz w:val="20"/>
        </w:rPr>
        <w:t>Value </w:t>
      </w:r>
      <w:r>
        <w:rPr>
          <w:color w:val="231F20"/>
          <w:w w:val="105"/>
          <w:sz w:val="20"/>
        </w:rPr>
        <w:t>of the Share-based Compensation, shall not exceed the following </w:t>
      </w:r>
      <w:r>
        <w:rPr>
          <w:color w:val="231F20"/>
          <w:spacing w:val="-3"/>
          <w:w w:val="105"/>
          <w:sz w:val="20"/>
        </w:rPr>
        <w:t>for </w:t>
      </w:r>
      <w:r>
        <w:rPr>
          <w:color w:val="231F20"/>
          <w:w w:val="105"/>
          <w:sz w:val="20"/>
        </w:rPr>
        <w:t>one year </w:t>
      </w:r>
      <w:r>
        <w:rPr>
          <w:color w:val="231F20"/>
          <w:spacing w:val="-3"/>
          <w:w w:val="105"/>
          <w:sz w:val="20"/>
        </w:rPr>
        <w:t>(i.e. </w:t>
      </w:r>
      <w:r>
        <w:rPr>
          <w:color w:val="231F20"/>
          <w:w w:val="105"/>
          <w:sz w:val="20"/>
        </w:rPr>
        <w:t>the </w:t>
      </w:r>
      <w:r>
        <w:rPr>
          <w:color w:val="231F20"/>
          <w:spacing w:val="-3"/>
          <w:w w:val="105"/>
          <w:sz w:val="20"/>
        </w:rPr>
        <w:t>Fair </w:t>
      </w:r>
      <w:r>
        <w:rPr>
          <w:color w:val="231F20"/>
          <w:spacing w:val="-5"/>
          <w:w w:val="105"/>
          <w:sz w:val="20"/>
        </w:rPr>
        <w:t>Value </w:t>
      </w:r>
      <w:r>
        <w:rPr>
          <w:color w:val="231F20"/>
          <w:w w:val="105"/>
          <w:sz w:val="20"/>
        </w:rPr>
        <w:t>of the Share Base Compensation </w:t>
      </w:r>
      <w:r>
        <w:rPr>
          <w:color w:val="231F20"/>
          <w:spacing w:val="-3"/>
          <w:w w:val="105"/>
          <w:sz w:val="20"/>
        </w:rPr>
        <w:t>at </w:t>
      </w:r>
      <w:r>
        <w:rPr>
          <w:color w:val="231F20"/>
          <w:w w:val="105"/>
          <w:sz w:val="20"/>
        </w:rPr>
        <w:t>the time of the grant divided, </w:t>
      </w:r>
      <w:r>
        <w:rPr>
          <w:color w:val="231F20"/>
          <w:spacing w:val="-3"/>
          <w:w w:val="105"/>
          <w:sz w:val="20"/>
        </w:rPr>
        <w:t>linearly, </w:t>
      </w:r>
      <w:r>
        <w:rPr>
          <w:color w:val="231F20"/>
          <w:w w:val="105"/>
          <w:sz w:val="20"/>
        </w:rPr>
        <w:t>to the number of the years until </w:t>
      </w:r>
      <w:r>
        <w:rPr>
          <w:color w:val="231F20"/>
          <w:spacing w:val="-3"/>
          <w:w w:val="105"/>
          <w:sz w:val="20"/>
        </w:rPr>
        <w:t>all </w:t>
      </w:r>
      <w:r>
        <w:rPr>
          <w:color w:val="231F20"/>
          <w:w w:val="105"/>
          <w:sz w:val="20"/>
        </w:rPr>
        <w:t>the Share Based Compensation is</w:t>
      </w:r>
      <w:r>
        <w:rPr>
          <w:color w:val="231F20"/>
          <w:spacing w:val="-13"/>
          <w:w w:val="105"/>
          <w:sz w:val="20"/>
        </w:rPr>
        <w:t> </w:t>
      </w:r>
      <w:r>
        <w:rPr>
          <w:color w:val="231F20"/>
          <w:w w:val="105"/>
          <w:sz w:val="20"/>
        </w:rPr>
        <w:t>vested):</w:t>
      </w:r>
    </w:p>
    <w:p>
      <w:pPr>
        <w:pStyle w:val="ListParagraph"/>
        <w:numPr>
          <w:ilvl w:val="0"/>
          <w:numId w:val="11"/>
        </w:numPr>
        <w:tabs>
          <w:tab w:pos="2488" w:val="left" w:leader="none"/>
        </w:tabs>
        <w:spacing w:line="244" w:lineRule="auto" w:before="122" w:after="0"/>
        <w:ind w:left="2487" w:right="1643" w:hanging="200"/>
        <w:jc w:val="left"/>
        <w:rPr>
          <w:sz w:val="20"/>
        </w:rPr>
      </w:pPr>
      <w:r>
        <w:rPr>
          <w:color w:val="231F20"/>
          <w:spacing w:val="-6"/>
          <w:w w:val="105"/>
          <w:sz w:val="20"/>
          <w:u w:val="single" w:color="231F20"/>
        </w:rPr>
        <w:t>For</w:t>
      </w:r>
      <w:r>
        <w:rPr>
          <w:color w:val="231F20"/>
          <w:spacing w:val="-9"/>
          <w:w w:val="105"/>
          <w:sz w:val="20"/>
          <w:u w:val="single" w:color="231F20"/>
        </w:rPr>
        <w:t> </w:t>
      </w:r>
      <w:r>
        <w:rPr>
          <w:color w:val="231F20"/>
          <w:w w:val="105"/>
          <w:sz w:val="20"/>
          <w:u w:val="single" w:color="231F20"/>
        </w:rPr>
        <w:t>an</w:t>
      </w:r>
      <w:r>
        <w:rPr>
          <w:color w:val="231F20"/>
          <w:spacing w:val="-9"/>
          <w:w w:val="105"/>
          <w:sz w:val="20"/>
          <w:u w:val="single" w:color="231F20"/>
        </w:rPr>
        <w:t> </w:t>
      </w:r>
      <w:r>
        <w:rPr>
          <w:color w:val="231F20"/>
          <w:w w:val="105"/>
          <w:sz w:val="20"/>
          <w:u w:val="single" w:color="231F20"/>
        </w:rPr>
        <w:t>Executive</w:t>
      </w:r>
      <w:r>
        <w:rPr>
          <w:color w:val="231F20"/>
          <w:spacing w:val="-9"/>
          <w:w w:val="105"/>
          <w:sz w:val="20"/>
          <w:u w:val="single" w:color="231F20"/>
        </w:rPr>
        <w:t> </w:t>
      </w:r>
      <w:r>
        <w:rPr>
          <w:color w:val="231F20"/>
          <w:w w:val="105"/>
          <w:sz w:val="20"/>
          <w:u w:val="single" w:color="231F20"/>
        </w:rPr>
        <w:t>Officer</w:t>
      </w:r>
      <w:r>
        <w:rPr>
          <w:color w:val="231F20"/>
          <w:spacing w:val="-4"/>
          <w:w w:val="105"/>
          <w:sz w:val="20"/>
        </w:rPr>
        <w:t> </w:t>
      </w:r>
      <w:r>
        <w:rPr>
          <w:color w:val="231F20"/>
          <w:w w:val="105"/>
          <w:sz w:val="20"/>
        </w:rPr>
        <w:t>—</w:t>
      </w:r>
      <w:r>
        <w:rPr>
          <w:color w:val="231F20"/>
          <w:spacing w:val="-5"/>
          <w:w w:val="105"/>
          <w:sz w:val="20"/>
        </w:rPr>
        <w:t> </w:t>
      </w:r>
      <w:r>
        <w:rPr>
          <w:color w:val="231F20"/>
          <w:w w:val="105"/>
          <w:sz w:val="20"/>
        </w:rPr>
        <w:t>one</w:t>
      </w:r>
      <w:r>
        <w:rPr>
          <w:color w:val="231F20"/>
          <w:spacing w:val="-8"/>
          <w:w w:val="105"/>
          <w:sz w:val="20"/>
        </w:rPr>
        <w:t> </w:t>
      </w:r>
      <w:r>
        <w:rPr>
          <w:color w:val="231F20"/>
          <w:w w:val="105"/>
          <w:sz w:val="20"/>
        </w:rPr>
        <w:t>and</w:t>
      </w:r>
      <w:r>
        <w:rPr>
          <w:color w:val="231F20"/>
          <w:spacing w:val="-9"/>
          <w:w w:val="105"/>
          <w:sz w:val="20"/>
        </w:rPr>
        <w:t> </w:t>
      </w:r>
      <w:r>
        <w:rPr>
          <w:color w:val="231F20"/>
          <w:spacing w:val="-3"/>
          <w:w w:val="105"/>
          <w:sz w:val="20"/>
        </w:rPr>
        <w:t>half</w:t>
      </w:r>
      <w:r>
        <w:rPr>
          <w:color w:val="231F20"/>
          <w:spacing w:val="8"/>
          <w:w w:val="105"/>
          <w:sz w:val="20"/>
        </w:rPr>
        <w:t> </w:t>
      </w:r>
      <w:r>
        <w:rPr>
          <w:color w:val="231F20"/>
          <w:w w:val="105"/>
          <w:sz w:val="20"/>
        </w:rPr>
        <w:t>(1.5)</w:t>
      </w:r>
      <w:r>
        <w:rPr>
          <w:color w:val="231F20"/>
          <w:spacing w:val="-9"/>
          <w:w w:val="105"/>
          <w:sz w:val="20"/>
        </w:rPr>
        <w:t> </w:t>
      </w:r>
      <w:r>
        <w:rPr>
          <w:color w:val="231F20"/>
          <w:w w:val="105"/>
          <w:sz w:val="20"/>
        </w:rPr>
        <w:t>times</w:t>
      </w:r>
      <w:r>
        <w:rPr>
          <w:color w:val="231F20"/>
          <w:spacing w:val="-9"/>
          <w:w w:val="105"/>
          <w:sz w:val="20"/>
        </w:rPr>
        <w:t> </w:t>
      </w:r>
      <w:r>
        <w:rPr>
          <w:color w:val="231F20"/>
          <w:w w:val="105"/>
          <w:sz w:val="20"/>
        </w:rPr>
        <w:t>such</w:t>
      </w:r>
      <w:r>
        <w:rPr>
          <w:color w:val="231F20"/>
          <w:spacing w:val="-8"/>
          <w:w w:val="105"/>
          <w:sz w:val="20"/>
        </w:rPr>
        <w:t> </w:t>
      </w:r>
      <w:r>
        <w:rPr>
          <w:color w:val="231F20"/>
          <w:w w:val="105"/>
          <w:sz w:val="20"/>
        </w:rPr>
        <w:t>Executive</w:t>
      </w:r>
      <w:r>
        <w:rPr>
          <w:color w:val="231F20"/>
          <w:spacing w:val="-9"/>
          <w:w w:val="105"/>
          <w:sz w:val="20"/>
        </w:rPr>
        <w:t> </w:t>
      </w:r>
      <w:r>
        <w:rPr>
          <w:color w:val="231F20"/>
          <w:spacing w:val="-3"/>
          <w:w w:val="105"/>
          <w:sz w:val="20"/>
        </w:rPr>
        <w:t>Officer’s</w:t>
      </w:r>
      <w:r>
        <w:rPr>
          <w:color w:val="231F20"/>
          <w:spacing w:val="-9"/>
          <w:w w:val="105"/>
          <w:sz w:val="20"/>
        </w:rPr>
        <w:t> </w:t>
      </w:r>
      <w:r>
        <w:rPr>
          <w:color w:val="231F20"/>
          <w:w w:val="105"/>
          <w:sz w:val="20"/>
        </w:rPr>
        <w:t>yearly</w:t>
      </w:r>
      <w:r>
        <w:rPr>
          <w:color w:val="231F20"/>
          <w:spacing w:val="-9"/>
          <w:w w:val="105"/>
          <w:sz w:val="20"/>
        </w:rPr>
        <w:t> </w:t>
      </w:r>
      <w:r>
        <w:rPr>
          <w:color w:val="231F20"/>
          <w:w w:val="105"/>
          <w:sz w:val="20"/>
        </w:rPr>
        <w:t>Base </w:t>
      </w:r>
      <w:r>
        <w:rPr>
          <w:color w:val="231F20"/>
          <w:spacing w:val="-5"/>
          <w:w w:val="105"/>
          <w:sz w:val="20"/>
        </w:rPr>
        <w:t>Salary.</w:t>
      </w:r>
    </w:p>
    <w:p>
      <w:pPr>
        <w:pStyle w:val="ListParagraph"/>
        <w:numPr>
          <w:ilvl w:val="0"/>
          <w:numId w:val="11"/>
        </w:numPr>
        <w:tabs>
          <w:tab w:pos="2488" w:val="left" w:leader="none"/>
        </w:tabs>
        <w:spacing w:line="240" w:lineRule="auto" w:before="122" w:after="0"/>
        <w:ind w:left="2487" w:right="0" w:hanging="201"/>
        <w:jc w:val="left"/>
        <w:rPr>
          <w:sz w:val="20"/>
        </w:rPr>
      </w:pPr>
      <w:r>
        <w:rPr>
          <w:color w:val="231F20"/>
          <w:spacing w:val="-6"/>
          <w:w w:val="105"/>
          <w:sz w:val="20"/>
          <w:u w:val="single" w:color="231F20"/>
        </w:rPr>
        <w:t>For </w:t>
      </w:r>
      <w:r>
        <w:rPr>
          <w:color w:val="231F20"/>
          <w:w w:val="105"/>
          <w:sz w:val="20"/>
          <w:u w:val="single" w:color="231F20"/>
        </w:rPr>
        <w:t>the CEO</w:t>
      </w:r>
      <w:r>
        <w:rPr>
          <w:color w:val="231F20"/>
          <w:w w:val="105"/>
          <w:sz w:val="20"/>
        </w:rPr>
        <w:t> — </w:t>
      </w:r>
      <w:r>
        <w:rPr>
          <w:color w:val="231F20"/>
          <w:spacing w:val="-3"/>
          <w:w w:val="105"/>
          <w:sz w:val="20"/>
        </w:rPr>
        <w:t>two </w:t>
      </w:r>
      <w:r>
        <w:rPr>
          <w:color w:val="231F20"/>
          <w:w w:val="105"/>
          <w:sz w:val="20"/>
        </w:rPr>
        <w:t>and a </w:t>
      </w:r>
      <w:r>
        <w:rPr>
          <w:color w:val="231F20"/>
          <w:spacing w:val="-3"/>
          <w:w w:val="105"/>
          <w:sz w:val="20"/>
        </w:rPr>
        <w:t>half </w:t>
      </w:r>
      <w:r>
        <w:rPr>
          <w:color w:val="231F20"/>
          <w:w w:val="105"/>
          <w:sz w:val="20"/>
        </w:rPr>
        <w:t>(2.5) times the </w:t>
      </w:r>
      <w:r>
        <w:rPr>
          <w:color w:val="231F20"/>
          <w:spacing w:val="-4"/>
          <w:w w:val="105"/>
          <w:sz w:val="20"/>
        </w:rPr>
        <w:t>CEO’s </w:t>
      </w:r>
      <w:r>
        <w:rPr>
          <w:color w:val="231F20"/>
          <w:w w:val="105"/>
          <w:sz w:val="20"/>
        </w:rPr>
        <w:t>yearly Base</w:t>
      </w:r>
      <w:r>
        <w:rPr>
          <w:color w:val="231F20"/>
          <w:spacing w:val="2"/>
          <w:w w:val="105"/>
          <w:sz w:val="20"/>
        </w:rPr>
        <w:t> </w:t>
      </w:r>
      <w:r>
        <w:rPr>
          <w:color w:val="231F20"/>
          <w:spacing w:val="-5"/>
          <w:w w:val="105"/>
          <w:sz w:val="20"/>
        </w:rPr>
        <w:t>Salary.</w:t>
      </w:r>
    </w:p>
    <w:p>
      <w:pPr>
        <w:pStyle w:val="ListParagraph"/>
        <w:numPr>
          <w:ilvl w:val="0"/>
          <w:numId w:val="11"/>
        </w:numPr>
        <w:tabs>
          <w:tab w:pos="2488" w:val="left" w:leader="none"/>
        </w:tabs>
        <w:spacing w:line="240" w:lineRule="auto" w:before="125" w:after="0"/>
        <w:ind w:left="2487" w:right="0" w:hanging="201"/>
        <w:jc w:val="left"/>
        <w:rPr>
          <w:sz w:val="20"/>
        </w:rPr>
      </w:pPr>
      <w:r>
        <w:rPr>
          <w:color w:val="231F20"/>
          <w:spacing w:val="-6"/>
          <w:w w:val="105"/>
          <w:sz w:val="20"/>
          <w:u w:val="single" w:color="231F20"/>
        </w:rPr>
        <w:t>For </w:t>
      </w:r>
      <w:r>
        <w:rPr>
          <w:color w:val="231F20"/>
          <w:spacing w:val="-3"/>
          <w:w w:val="105"/>
          <w:sz w:val="20"/>
          <w:u w:val="single" w:color="231F20"/>
        </w:rPr>
        <w:t>all </w:t>
      </w:r>
      <w:r>
        <w:rPr>
          <w:color w:val="231F20"/>
          <w:w w:val="105"/>
          <w:sz w:val="20"/>
          <w:u w:val="single" w:color="231F20"/>
        </w:rPr>
        <w:t>Directors as a group</w:t>
      </w:r>
      <w:r>
        <w:rPr>
          <w:color w:val="231F20"/>
          <w:w w:val="105"/>
          <w:sz w:val="20"/>
        </w:rPr>
        <w:t> — the amount of</w:t>
      </w:r>
      <w:r>
        <w:rPr>
          <w:color w:val="231F20"/>
          <w:spacing w:val="10"/>
          <w:w w:val="105"/>
          <w:sz w:val="20"/>
        </w:rPr>
        <w:t> </w:t>
      </w:r>
      <w:r>
        <w:rPr>
          <w:color w:val="231F20"/>
          <w:w w:val="105"/>
          <w:sz w:val="20"/>
        </w:rPr>
        <w:t>US$800,000.</w:t>
      </w:r>
    </w:p>
    <w:p>
      <w:pPr>
        <w:pStyle w:val="ListParagraph"/>
        <w:numPr>
          <w:ilvl w:val="1"/>
          <w:numId w:val="4"/>
        </w:numPr>
        <w:tabs>
          <w:tab w:pos="2068" w:val="left" w:leader="none"/>
        </w:tabs>
        <w:spacing w:line="247" w:lineRule="auto" w:before="167" w:after="0"/>
        <w:ind w:left="2067" w:right="1386" w:hanging="579"/>
        <w:jc w:val="left"/>
        <w:rPr>
          <w:sz w:val="20"/>
        </w:rPr>
      </w:pPr>
      <w:r>
        <w:rPr>
          <w:color w:val="231F20"/>
          <w:w w:val="105"/>
          <w:sz w:val="20"/>
        </w:rPr>
        <w:t>The exercise price and </w:t>
      </w:r>
      <w:r>
        <w:rPr>
          <w:color w:val="231F20"/>
          <w:spacing w:val="-3"/>
          <w:w w:val="105"/>
          <w:sz w:val="20"/>
        </w:rPr>
        <w:t>any </w:t>
      </w:r>
      <w:r>
        <w:rPr>
          <w:color w:val="231F20"/>
          <w:w w:val="105"/>
          <w:sz w:val="20"/>
        </w:rPr>
        <w:t>other terms of the grant will be determined by the Compensation Committee</w:t>
      </w:r>
      <w:r>
        <w:rPr>
          <w:color w:val="231F20"/>
          <w:spacing w:val="-14"/>
          <w:w w:val="105"/>
          <w:sz w:val="20"/>
        </w:rPr>
        <w:t> </w:t>
      </w:r>
      <w:r>
        <w:rPr>
          <w:color w:val="231F20"/>
          <w:w w:val="105"/>
          <w:sz w:val="20"/>
        </w:rPr>
        <w:t>and</w:t>
      </w:r>
      <w:r>
        <w:rPr>
          <w:color w:val="231F20"/>
          <w:spacing w:val="-13"/>
          <w:w w:val="105"/>
          <w:sz w:val="20"/>
        </w:rPr>
        <w:t> </w:t>
      </w:r>
      <w:r>
        <w:rPr>
          <w:color w:val="231F20"/>
          <w:w w:val="105"/>
          <w:sz w:val="20"/>
        </w:rPr>
        <w:t>the</w:t>
      </w:r>
      <w:r>
        <w:rPr>
          <w:color w:val="231F20"/>
          <w:spacing w:val="-13"/>
          <w:w w:val="105"/>
          <w:sz w:val="20"/>
        </w:rPr>
        <w:t> </w:t>
      </w:r>
      <w:r>
        <w:rPr>
          <w:color w:val="231F20"/>
          <w:w w:val="105"/>
          <w:sz w:val="20"/>
        </w:rPr>
        <w:t>Board,</w:t>
      </w:r>
      <w:r>
        <w:rPr>
          <w:color w:val="231F20"/>
          <w:spacing w:val="-13"/>
          <w:w w:val="105"/>
          <w:sz w:val="20"/>
        </w:rPr>
        <w:t> </w:t>
      </w:r>
      <w:r>
        <w:rPr>
          <w:color w:val="231F20"/>
          <w:w w:val="105"/>
          <w:sz w:val="20"/>
        </w:rPr>
        <w:t>as</w:t>
      </w:r>
      <w:r>
        <w:rPr>
          <w:color w:val="231F20"/>
          <w:spacing w:val="-13"/>
          <w:w w:val="105"/>
          <w:sz w:val="20"/>
        </w:rPr>
        <w:t> </w:t>
      </w:r>
      <w:r>
        <w:rPr>
          <w:color w:val="231F20"/>
          <w:w w:val="105"/>
          <w:sz w:val="20"/>
        </w:rPr>
        <w:t>required</w:t>
      </w:r>
      <w:r>
        <w:rPr>
          <w:color w:val="231F20"/>
          <w:spacing w:val="-14"/>
          <w:w w:val="105"/>
          <w:sz w:val="20"/>
        </w:rPr>
        <w:t> </w:t>
      </w:r>
      <w:r>
        <w:rPr>
          <w:color w:val="231F20"/>
          <w:w w:val="105"/>
          <w:sz w:val="20"/>
        </w:rPr>
        <w:t>by</w:t>
      </w:r>
      <w:r>
        <w:rPr>
          <w:color w:val="231F20"/>
          <w:spacing w:val="-13"/>
          <w:w w:val="105"/>
          <w:sz w:val="20"/>
        </w:rPr>
        <w:t> </w:t>
      </w:r>
      <w:r>
        <w:rPr>
          <w:color w:val="231F20"/>
          <w:spacing w:val="-3"/>
          <w:w w:val="105"/>
          <w:sz w:val="20"/>
        </w:rPr>
        <w:t>any</w:t>
      </w:r>
      <w:r>
        <w:rPr>
          <w:color w:val="231F20"/>
          <w:spacing w:val="-13"/>
          <w:w w:val="105"/>
          <w:sz w:val="20"/>
        </w:rPr>
        <w:t> </w:t>
      </w:r>
      <w:r>
        <w:rPr>
          <w:color w:val="231F20"/>
          <w:w w:val="105"/>
          <w:sz w:val="20"/>
        </w:rPr>
        <w:t>applicable</w:t>
      </w:r>
      <w:r>
        <w:rPr>
          <w:color w:val="231F20"/>
          <w:spacing w:val="-13"/>
          <w:w w:val="105"/>
          <w:sz w:val="20"/>
        </w:rPr>
        <w:t> </w:t>
      </w:r>
      <w:r>
        <w:rPr>
          <w:color w:val="231F20"/>
          <w:spacing w:val="-9"/>
          <w:w w:val="105"/>
          <w:sz w:val="20"/>
        </w:rPr>
        <w:t>law.</w:t>
      </w:r>
      <w:r>
        <w:rPr>
          <w:color w:val="231F20"/>
          <w:spacing w:val="-13"/>
          <w:w w:val="105"/>
          <w:sz w:val="20"/>
        </w:rPr>
        <w:t> </w:t>
      </w:r>
      <w:r>
        <w:rPr>
          <w:color w:val="231F20"/>
          <w:w w:val="105"/>
          <w:sz w:val="20"/>
        </w:rPr>
        <w:t>In</w:t>
      </w:r>
      <w:r>
        <w:rPr>
          <w:color w:val="231F20"/>
          <w:spacing w:val="-14"/>
          <w:w w:val="105"/>
          <w:sz w:val="20"/>
        </w:rPr>
        <w:t> </w:t>
      </w:r>
      <w:r>
        <w:rPr>
          <w:color w:val="231F20"/>
          <w:spacing w:val="-3"/>
          <w:w w:val="105"/>
          <w:sz w:val="20"/>
        </w:rPr>
        <w:t>any</w:t>
      </w:r>
      <w:r>
        <w:rPr>
          <w:color w:val="231F20"/>
          <w:spacing w:val="-13"/>
          <w:w w:val="105"/>
          <w:sz w:val="20"/>
        </w:rPr>
        <w:t> </w:t>
      </w:r>
      <w:r>
        <w:rPr>
          <w:color w:val="231F20"/>
          <w:w w:val="105"/>
          <w:sz w:val="20"/>
        </w:rPr>
        <w:t>event,</w:t>
      </w:r>
      <w:r>
        <w:rPr>
          <w:color w:val="231F20"/>
          <w:spacing w:val="-13"/>
          <w:w w:val="105"/>
          <w:sz w:val="20"/>
        </w:rPr>
        <w:t> </w:t>
      </w:r>
      <w:r>
        <w:rPr>
          <w:color w:val="231F20"/>
          <w:w w:val="105"/>
          <w:sz w:val="20"/>
        </w:rPr>
        <w:t>such</w:t>
      </w:r>
      <w:r>
        <w:rPr>
          <w:color w:val="231F20"/>
          <w:spacing w:val="-13"/>
          <w:w w:val="105"/>
          <w:sz w:val="20"/>
        </w:rPr>
        <w:t> </w:t>
      </w:r>
      <w:r>
        <w:rPr>
          <w:color w:val="231F20"/>
          <w:w w:val="105"/>
          <w:sz w:val="20"/>
        </w:rPr>
        <w:t>exercise</w:t>
      </w:r>
      <w:r>
        <w:rPr>
          <w:color w:val="231F20"/>
          <w:spacing w:val="-13"/>
          <w:w w:val="105"/>
          <w:sz w:val="20"/>
        </w:rPr>
        <w:t> </w:t>
      </w:r>
      <w:r>
        <w:rPr>
          <w:color w:val="231F20"/>
          <w:w w:val="105"/>
          <w:sz w:val="20"/>
        </w:rPr>
        <w:t>price</w:t>
      </w:r>
      <w:r>
        <w:rPr>
          <w:color w:val="231F20"/>
          <w:spacing w:val="-14"/>
          <w:w w:val="105"/>
          <w:sz w:val="20"/>
        </w:rPr>
        <w:t> </w:t>
      </w:r>
      <w:r>
        <w:rPr>
          <w:color w:val="231F20"/>
          <w:w w:val="105"/>
          <w:sz w:val="20"/>
        </w:rPr>
        <w:t>shall be </w:t>
      </w:r>
      <w:r>
        <w:rPr>
          <w:color w:val="231F20"/>
          <w:spacing w:val="-3"/>
          <w:w w:val="105"/>
          <w:sz w:val="20"/>
        </w:rPr>
        <w:t>at </w:t>
      </w:r>
      <w:r>
        <w:rPr>
          <w:color w:val="231F20"/>
          <w:w w:val="105"/>
          <w:sz w:val="20"/>
        </w:rPr>
        <w:t>least equal to the </w:t>
      </w:r>
      <w:r>
        <w:rPr>
          <w:color w:val="231F20"/>
          <w:spacing w:val="-4"/>
          <w:w w:val="105"/>
          <w:sz w:val="20"/>
        </w:rPr>
        <w:t>average </w:t>
      </w:r>
      <w:r>
        <w:rPr>
          <w:color w:val="231F20"/>
          <w:w w:val="105"/>
          <w:sz w:val="20"/>
        </w:rPr>
        <w:t>Closing Price of the </w:t>
      </w:r>
      <w:r>
        <w:rPr>
          <w:color w:val="231F20"/>
          <w:spacing w:val="-3"/>
          <w:w w:val="105"/>
          <w:sz w:val="20"/>
        </w:rPr>
        <w:t>Company’s </w:t>
      </w:r>
      <w:r>
        <w:rPr>
          <w:color w:val="231F20"/>
          <w:w w:val="105"/>
          <w:sz w:val="20"/>
        </w:rPr>
        <w:t>share during the thirty (30) trading </w:t>
      </w:r>
      <w:r>
        <w:rPr>
          <w:color w:val="231F20"/>
          <w:spacing w:val="-3"/>
          <w:w w:val="105"/>
          <w:sz w:val="20"/>
        </w:rPr>
        <w:t>day </w:t>
      </w:r>
      <w:r>
        <w:rPr>
          <w:color w:val="231F20"/>
          <w:w w:val="105"/>
          <w:sz w:val="20"/>
        </w:rPr>
        <w:t>period preceding the date of such grant; provided that the Compensation Committee and the Board shall </w:t>
      </w:r>
      <w:r>
        <w:rPr>
          <w:color w:val="231F20"/>
          <w:spacing w:val="-5"/>
          <w:w w:val="105"/>
          <w:sz w:val="20"/>
        </w:rPr>
        <w:t>have </w:t>
      </w:r>
      <w:r>
        <w:rPr>
          <w:color w:val="231F20"/>
          <w:w w:val="105"/>
          <w:sz w:val="20"/>
        </w:rPr>
        <w:t>the right to determine an exercise price different from the aforesaid and/or the Plan in exceptional cases and under special circumstances which shall be laid out in the Compensation Committee’s and </w:t>
      </w:r>
      <w:r>
        <w:rPr>
          <w:color w:val="231F20"/>
          <w:spacing w:val="-3"/>
          <w:w w:val="105"/>
          <w:sz w:val="20"/>
        </w:rPr>
        <w:t>Board’s </w:t>
      </w:r>
      <w:r>
        <w:rPr>
          <w:color w:val="231F20"/>
          <w:w w:val="105"/>
          <w:sz w:val="20"/>
        </w:rPr>
        <w:t>respective</w:t>
      </w:r>
      <w:r>
        <w:rPr>
          <w:color w:val="231F20"/>
          <w:spacing w:val="-22"/>
          <w:w w:val="105"/>
          <w:sz w:val="20"/>
        </w:rPr>
        <w:t> </w:t>
      </w:r>
      <w:r>
        <w:rPr>
          <w:color w:val="231F20"/>
          <w:w w:val="105"/>
          <w:sz w:val="20"/>
        </w:rPr>
        <w:t>decisions.</w:t>
      </w:r>
    </w:p>
    <w:p>
      <w:pPr>
        <w:pStyle w:val="ListParagraph"/>
        <w:numPr>
          <w:ilvl w:val="1"/>
          <w:numId w:val="4"/>
        </w:numPr>
        <w:tabs>
          <w:tab w:pos="2068" w:val="left" w:leader="none"/>
        </w:tabs>
        <w:spacing w:line="247" w:lineRule="auto" w:before="164" w:after="0"/>
        <w:ind w:left="2067" w:right="1387" w:hanging="579"/>
        <w:jc w:val="left"/>
        <w:rPr>
          <w:sz w:val="20"/>
        </w:rPr>
      </w:pPr>
      <w:r>
        <w:rPr>
          <w:color w:val="231F20"/>
          <w:w w:val="105"/>
          <w:sz w:val="20"/>
        </w:rPr>
        <w:t>Share-based Compensation, if granted, shall mature in installments or vesting periods (or depend on meeting milestones) which shall </w:t>
      </w:r>
      <w:r>
        <w:rPr>
          <w:color w:val="231F20"/>
          <w:spacing w:val="-4"/>
          <w:w w:val="105"/>
          <w:sz w:val="20"/>
        </w:rPr>
        <w:t>take </w:t>
      </w:r>
      <w:r>
        <w:rPr>
          <w:color w:val="231F20"/>
          <w:w w:val="105"/>
          <w:sz w:val="20"/>
        </w:rPr>
        <w:t>into account the appropriate incentive, in light of the </w:t>
      </w:r>
      <w:r>
        <w:rPr>
          <w:color w:val="231F20"/>
          <w:spacing w:val="-3"/>
          <w:w w:val="105"/>
          <w:sz w:val="20"/>
        </w:rPr>
        <w:t>Company’s </w:t>
      </w:r>
      <w:r>
        <w:rPr>
          <w:color w:val="231F20"/>
          <w:w w:val="105"/>
          <w:sz w:val="20"/>
        </w:rPr>
        <w:t>objectives in the years following the </w:t>
      </w:r>
      <w:r>
        <w:rPr>
          <w:color w:val="231F20"/>
          <w:spacing w:val="-4"/>
          <w:w w:val="105"/>
          <w:sz w:val="20"/>
        </w:rPr>
        <w:t>approval </w:t>
      </w:r>
      <w:r>
        <w:rPr>
          <w:color w:val="231F20"/>
          <w:w w:val="105"/>
          <w:sz w:val="20"/>
        </w:rPr>
        <w:t>of the grant, and in </w:t>
      </w:r>
      <w:r>
        <w:rPr>
          <w:color w:val="231F20"/>
          <w:spacing w:val="-3"/>
          <w:w w:val="105"/>
          <w:sz w:val="20"/>
        </w:rPr>
        <w:t>any </w:t>
      </w:r>
      <w:r>
        <w:rPr>
          <w:color w:val="231F20"/>
          <w:w w:val="105"/>
          <w:sz w:val="20"/>
        </w:rPr>
        <w:t>event</w:t>
      </w:r>
      <w:r>
        <w:rPr>
          <w:color w:val="231F20"/>
          <w:spacing w:val="-31"/>
          <w:w w:val="105"/>
          <w:sz w:val="20"/>
        </w:rPr>
        <w:t> </w:t>
      </w:r>
      <w:r>
        <w:rPr>
          <w:color w:val="231F20"/>
          <w:w w:val="105"/>
          <w:sz w:val="20"/>
        </w:rPr>
        <w:t>the vesting shall be </w:t>
      </w:r>
      <w:r>
        <w:rPr>
          <w:color w:val="231F20"/>
          <w:spacing w:val="-3"/>
          <w:w w:val="105"/>
          <w:sz w:val="20"/>
        </w:rPr>
        <w:t>at </w:t>
      </w:r>
      <w:r>
        <w:rPr>
          <w:color w:val="231F20"/>
          <w:w w:val="105"/>
          <w:sz w:val="20"/>
        </w:rPr>
        <w:t>a minimum of (i) first cliff after one year from the date of grant; and (ii) full vesting not earlier than thirty six (36) months from the date of an officer first</w:t>
      </w:r>
      <w:r>
        <w:rPr>
          <w:color w:val="231F20"/>
          <w:spacing w:val="-2"/>
          <w:w w:val="105"/>
          <w:sz w:val="20"/>
        </w:rPr>
        <w:t> </w:t>
      </w:r>
      <w:r>
        <w:rPr>
          <w:color w:val="231F20"/>
          <w:w w:val="105"/>
          <w:sz w:val="20"/>
        </w:rPr>
        <w:t>grant.</w:t>
      </w:r>
    </w:p>
    <w:p>
      <w:pPr>
        <w:pStyle w:val="ListParagraph"/>
        <w:numPr>
          <w:ilvl w:val="1"/>
          <w:numId w:val="4"/>
        </w:numPr>
        <w:tabs>
          <w:tab w:pos="2068" w:val="left" w:leader="none"/>
        </w:tabs>
        <w:spacing w:line="247" w:lineRule="auto" w:before="163" w:after="0"/>
        <w:ind w:left="2067" w:right="1609" w:hanging="579"/>
        <w:jc w:val="left"/>
        <w:rPr>
          <w:sz w:val="20"/>
        </w:rPr>
      </w:pPr>
      <w:r>
        <w:rPr>
          <w:color w:val="231F20"/>
          <w:w w:val="110"/>
          <w:sz w:val="20"/>
        </w:rPr>
        <w:t>Notwithstanding anything to the contrary in this Compensation </w:t>
      </w:r>
      <w:r>
        <w:rPr>
          <w:color w:val="231F20"/>
          <w:spacing w:val="-4"/>
          <w:w w:val="110"/>
          <w:sz w:val="20"/>
        </w:rPr>
        <w:t>Policy, </w:t>
      </w:r>
      <w:r>
        <w:rPr>
          <w:color w:val="231F20"/>
          <w:w w:val="110"/>
          <w:sz w:val="20"/>
        </w:rPr>
        <w:t>in the event of a Corporate</w:t>
      </w:r>
      <w:r>
        <w:rPr>
          <w:color w:val="231F20"/>
          <w:spacing w:val="-28"/>
          <w:w w:val="110"/>
          <w:sz w:val="20"/>
        </w:rPr>
        <w:t> </w:t>
      </w:r>
      <w:r>
        <w:rPr>
          <w:color w:val="231F20"/>
          <w:w w:val="110"/>
          <w:sz w:val="20"/>
        </w:rPr>
        <w:t>Transaction</w:t>
      </w:r>
      <w:r>
        <w:rPr>
          <w:color w:val="231F20"/>
          <w:spacing w:val="-28"/>
          <w:w w:val="110"/>
          <w:sz w:val="20"/>
        </w:rPr>
        <w:t> </w:t>
      </w:r>
      <w:r>
        <w:rPr>
          <w:color w:val="231F20"/>
          <w:w w:val="110"/>
          <w:sz w:val="20"/>
        </w:rPr>
        <w:t>(as</w:t>
      </w:r>
      <w:r>
        <w:rPr>
          <w:color w:val="231F20"/>
          <w:spacing w:val="-28"/>
          <w:w w:val="110"/>
          <w:sz w:val="20"/>
        </w:rPr>
        <w:t> </w:t>
      </w:r>
      <w:r>
        <w:rPr>
          <w:color w:val="231F20"/>
          <w:w w:val="110"/>
          <w:sz w:val="20"/>
        </w:rPr>
        <w:t>such</w:t>
      </w:r>
      <w:r>
        <w:rPr>
          <w:color w:val="231F20"/>
          <w:spacing w:val="-28"/>
          <w:w w:val="110"/>
          <w:sz w:val="20"/>
        </w:rPr>
        <w:t> </w:t>
      </w:r>
      <w:r>
        <w:rPr>
          <w:color w:val="231F20"/>
          <w:w w:val="110"/>
          <w:sz w:val="20"/>
        </w:rPr>
        <w:t>term</w:t>
      </w:r>
      <w:r>
        <w:rPr>
          <w:color w:val="231F20"/>
          <w:spacing w:val="-28"/>
          <w:w w:val="110"/>
          <w:sz w:val="20"/>
        </w:rPr>
        <w:t> </w:t>
      </w:r>
      <w:r>
        <w:rPr>
          <w:color w:val="231F20"/>
          <w:w w:val="110"/>
          <w:sz w:val="20"/>
        </w:rPr>
        <w:t>is</w:t>
      </w:r>
      <w:r>
        <w:rPr>
          <w:color w:val="231F20"/>
          <w:spacing w:val="-27"/>
          <w:w w:val="110"/>
          <w:sz w:val="20"/>
        </w:rPr>
        <w:t> </w:t>
      </w:r>
      <w:r>
        <w:rPr>
          <w:color w:val="231F20"/>
          <w:w w:val="110"/>
          <w:sz w:val="20"/>
        </w:rPr>
        <w:t>defined</w:t>
      </w:r>
      <w:r>
        <w:rPr>
          <w:color w:val="231F20"/>
          <w:spacing w:val="-28"/>
          <w:w w:val="110"/>
          <w:sz w:val="20"/>
        </w:rPr>
        <w:t> </w:t>
      </w:r>
      <w:r>
        <w:rPr>
          <w:color w:val="231F20"/>
          <w:w w:val="110"/>
          <w:sz w:val="20"/>
        </w:rPr>
        <w:t>under</w:t>
      </w:r>
      <w:r>
        <w:rPr>
          <w:color w:val="231F20"/>
          <w:spacing w:val="-28"/>
          <w:w w:val="110"/>
          <w:sz w:val="20"/>
        </w:rPr>
        <w:t> </w:t>
      </w:r>
      <w:r>
        <w:rPr>
          <w:color w:val="231F20"/>
          <w:w w:val="110"/>
          <w:sz w:val="20"/>
        </w:rPr>
        <w:t>the</w:t>
      </w:r>
      <w:r>
        <w:rPr>
          <w:color w:val="231F20"/>
          <w:spacing w:val="-28"/>
          <w:w w:val="110"/>
          <w:sz w:val="20"/>
        </w:rPr>
        <w:t> </w:t>
      </w:r>
      <w:r>
        <w:rPr>
          <w:color w:val="231F20"/>
          <w:spacing w:val="-3"/>
          <w:w w:val="110"/>
          <w:sz w:val="20"/>
        </w:rPr>
        <w:t>Company’s</w:t>
      </w:r>
      <w:r>
        <w:rPr>
          <w:color w:val="231F20"/>
          <w:spacing w:val="-28"/>
          <w:w w:val="110"/>
          <w:sz w:val="20"/>
        </w:rPr>
        <w:t> </w:t>
      </w:r>
      <w:r>
        <w:rPr>
          <w:color w:val="231F20"/>
          <w:w w:val="110"/>
          <w:sz w:val="20"/>
        </w:rPr>
        <w:t>2015</w:t>
      </w:r>
      <w:r>
        <w:rPr>
          <w:color w:val="231F20"/>
          <w:spacing w:val="-27"/>
          <w:w w:val="110"/>
          <w:sz w:val="20"/>
        </w:rPr>
        <w:t> </w:t>
      </w:r>
      <w:r>
        <w:rPr>
          <w:color w:val="231F20"/>
          <w:w w:val="110"/>
          <w:sz w:val="20"/>
        </w:rPr>
        <w:t>Executive</w:t>
      </w:r>
      <w:r>
        <w:rPr>
          <w:color w:val="231F20"/>
          <w:spacing w:val="-28"/>
          <w:w w:val="110"/>
          <w:sz w:val="20"/>
        </w:rPr>
        <w:t> </w:t>
      </w:r>
      <w:r>
        <w:rPr>
          <w:color w:val="231F20"/>
          <w:w w:val="110"/>
          <w:sz w:val="20"/>
        </w:rPr>
        <w:t>and</w:t>
      </w:r>
      <w:r>
        <w:rPr>
          <w:color w:val="231F20"/>
          <w:spacing w:val="-28"/>
          <w:w w:val="110"/>
          <w:sz w:val="20"/>
        </w:rPr>
        <w:t> </w:t>
      </w:r>
      <w:r>
        <w:rPr>
          <w:color w:val="231F20"/>
          <w:spacing w:val="-3"/>
          <w:w w:val="110"/>
          <w:sz w:val="20"/>
        </w:rPr>
        <w:t>Key</w:t>
      </w:r>
    </w:p>
    <w:p>
      <w:pPr>
        <w:spacing w:after="0" w:line="247" w:lineRule="auto"/>
        <w:jc w:val="left"/>
        <w:rPr>
          <w:sz w:val="20"/>
        </w:rPr>
        <w:sectPr>
          <w:pgSz w:w="11880" w:h="15480"/>
          <w:pgMar w:header="0" w:footer="664" w:top="940" w:bottom="860" w:left="300" w:right="0"/>
        </w:sectPr>
      </w:pPr>
    </w:p>
    <w:p>
      <w:pPr>
        <w:pStyle w:val="BodyText"/>
        <w:spacing w:line="249" w:lineRule="auto" w:before="87"/>
        <w:ind w:left="2067" w:right="1553"/>
      </w:pPr>
      <w:r>
        <w:rPr>
          <w:color w:val="231F20"/>
          <w:w w:val="105"/>
        </w:rPr>
        <w:t>Employee Share Option Plan, the “Plan”) or </w:t>
      </w:r>
      <w:r>
        <w:rPr>
          <w:color w:val="231F20"/>
          <w:spacing w:val="-3"/>
          <w:w w:val="105"/>
        </w:rPr>
        <w:t>any </w:t>
      </w:r>
      <w:r>
        <w:rPr>
          <w:color w:val="231F20"/>
          <w:w w:val="105"/>
        </w:rPr>
        <w:t>option plan as in effect, from time to time, or in the event of termination by the Company of an Executive Officer (except </w:t>
      </w:r>
      <w:r>
        <w:rPr>
          <w:color w:val="231F20"/>
          <w:spacing w:val="-3"/>
          <w:w w:val="105"/>
        </w:rPr>
        <w:t>for </w:t>
      </w:r>
      <w:r>
        <w:rPr>
          <w:color w:val="231F20"/>
          <w:w w:val="105"/>
        </w:rPr>
        <w:t>“cause”) in a Change of Control event (as hereinafter defined), subject to the recommendation and </w:t>
      </w:r>
      <w:r>
        <w:rPr>
          <w:color w:val="231F20"/>
          <w:spacing w:val="-4"/>
          <w:w w:val="105"/>
        </w:rPr>
        <w:t>approval </w:t>
      </w:r>
      <w:r>
        <w:rPr>
          <w:color w:val="231F20"/>
          <w:w w:val="105"/>
        </w:rPr>
        <w:t>of the Compensation Committee (and subject to shareholder </w:t>
      </w:r>
      <w:r>
        <w:rPr>
          <w:color w:val="231F20"/>
          <w:spacing w:val="-4"/>
          <w:w w:val="105"/>
        </w:rPr>
        <w:t>approval, </w:t>
      </w:r>
      <w:r>
        <w:rPr>
          <w:color w:val="231F20"/>
          <w:w w:val="105"/>
        </w:rPr>
        <w:t>if required under the Companies </w:t>
      </w:r>
      <w:r>
        <w:rPr>
          <w:color w:val="231F20"/>
          <w:spacing w:val="-3"/>
          <w:w w:val="105"/>
        </w:rPr>
        <w:t>Law), </w:t>
      </w:r>
      <w:r>
        <w:rPr>
          <w:color w:val="231F20"/>
          <w:w w:val="105"/>
        </w:rPr>
        <w:t>the Board </w:t>
      </w:r>
      <w:r>
        <w:rPr>
          <w:color w:val="231F20"/>
          <w:spacing w:val="-3"/>
          <w:w w:val="105"/>
        </w:rPr>
        <w:t>may </w:t>
      </w:r>
      <w:r>
        <w:rPr>
          <w:color w:val="231F20"/>
          <w:w w:val="105"/>
        </w:rPr>
        <w:t>authorize and </w:t>
      </w:r>
      <w:r>
        <w:rPr>
          <w:color w:val="231F20"/>
          <w:spacing w:val="-4"/>
          <w:w w:val="105"/>
        </w:rPr>
        <w:t>approve </w:t>
      </w:r>
      <w:r>
        <w:rPr>
          <w:color w:val="231F20"/>
          <w:w w:val="105"/>
        </w:rPr>
        <w:t>the acceleration of  </w:t>
      </w:r>
      <w:r>
        <w:rPr>
          <w:color w:val="231F20"/>
          <w:spacing w:val="-3"/>
          <w:w w:val="105"/>
        </w:rPr>
        <w:t>all </w:t>
      </w:r>
      <w:r>
        <w:rPr>
          <w:color w:val="231F20"/>
          <w:w w:val="105"/>
        </w:rPr>
        <w:t>or </w:t>
      </w:r>
      <w:r>
        <w:rPr>
          <w:color w:val="231F20"/>
          <w:spacing w:val="-3"/>
          <w:w w:val="105"/>
        </w:rPr>
        <w:t>any </w:t>
      </w:r>
      <w:r>
        <w:rPr>
          <w:color w:val="231F20"/>
          <w:w w:val="105"/>
        </w:rPr>
        <w:t>part of </w:t>
      </w:r>
      <w:r>
        <w:rPr>
          <w:color w:val="231F20"/>
          <w:spacing w:val="-3"/>
          <w:w w:val="105"/>
        </w:rPr>
        <w:t>any </w:t>
      </w:r>
      <w:r>
        <w:rPr>
          <w:color w:val="231F20"/>
          <w:w w:val="105"/>
        </w:rPr>
        <w:t>unvested options outstanding immediately prior to the consummation of the</w:t>
      </w:r>
      <w:r>
        <w:rPr>
          <w:color w:val="231F20"/>
          <w:spacing w:val="21"/>
          <w:w w:val="105"/>
        </w:rPr>
        <w:t> </w:t>
      </w:r>
      <w:r>
        <w:rPr>
          <w:color w:val="231F20"/>
          <w:w w:val="105"/>
        </w:rPr>
        <w:t>Transaction.</w:t>
      </w:r>
    </w:p>
    <w:p>
      <w:pPr>
        <w:pStyle w:val="BodyText"/>
        <w:rPr>
          <w:sz w:val="21"/>
        </w:rPr>
      </w:pPr>
    </w:p>
    <w:p>
      <w:pPr>
        <w:pStyle w:val="ListParagraph"/>
        <w:numPr>
          <w:ilvl w:val="0"/>
          <w:numId w:val="4"/>
        </w:numPr>
        <w:tabs>
          <w:tab w:pos="1490" w:val="left" w:leader="none"/>
        </w:tabs>
        <w:spacing w:line="240" w:lineRule="auto" w:before="0" w:after="0"/>
        <w:ind w:left="1489" w:right="0" w:hanging="400"/>
        <w:jc w:val="left"/>
        <w:rPr>
          <w:b/>
          <w:sz w:val="20"/>
        </w:rPr>
      </w:pPr>
      <w:r>
        <w:rPr>
          <w:b/>
          <w:color w:val="231F20"/>
          <w:sz w:val="20"/>
          <w:u w:val="single" w:color="231F20"/>
        </w:rPr>
        <w:t>Insurance, Exemption and</w:t>
      </w:r>
      <w:r>
        <w:rPr>
          <w:b/>
          <w:color w:val="231F20"/>
          <w:spacing w:val="-8"/>
          <w:sz w:val="20"/>
          <w:u w:val="single" w:color="231F20"/>
        </w:rPr>
        <w:t> </w:t>
      </w:r>
      <w:r>
        <w:rPr>
          <w:b/>
          <w:color w:val="231F20"/>
          <w:sz w:val="20"/>
          <w:u w:val="single" w:color="231F20"/>
        </w:rPr>
        <w:t>Indemnification</w:t>
      </w:r>
    </w:p>
    <w:p>
      <w:pPr>
        <w:pStyle w:val="BodyText"/>
        <w:spacing w:line="249" w:lineRule="auto" w:before="169"/>
        <w:ind w:left="1489" w:right="1322"/>
      </w:pPr>
      <w:r>
        <w:rPr>
          <w:color w:val="231F20"/>
          <w:w w:val="105"/>
        </w:rPr>
        <w:t>The Officers of the Company shall be entitled to benefit from the insurance, exemption and indemnification arrangements, to be approved from time to time by the Company, pursuant to the provisions of the Articles of Association of the Company and applicable law. In the case of insurance, the maximum coverage per a claim and for a period of one year shall not exceed the sum of US$15,000,000 (fifteen million US Dollars).</w:t>
      </w:r>
    </w:p>
    <w:p>
      <w:pPr>
        <w:pStyle w:val="BodyText"/>
        <w:spacing w:before="11"/>
      </w:pPr>
    </w:p>
    <w:p>
      <w:pPr>
        <w:pStyle w:val="ListParagraph"/>
        <w:numPr>
          <w:ilvl w:val="0"/>
          <w:numId w:val="4"/>
        </w:numPr>
        <w:tabs>
          <w:tab w:pos="1490" w:val="left" w:leader="none"/>
        </w:tabs>
        <w:spacing w:line="240" w:lineRule="auto" w:before="0" w:after="0"/>
        <w:ind w:left="1489" w:right="0" w:hanging="400"/>
        <w:jc w:val="left"/>
        <w:rPr>
          <w:b/>
          <w:sz w:val="20"/>
        </w:rPr>
      </w:pPr>
      <w:r>
        <w:rPr>
          <w:b/>
          <w:color w:val="231F20"/>
          <w:sz w:val="20"/>
          <w:u w:val="single" w:color="231F20"/>
        </w:rPr>
        <w:t>Retirement</w:t>
      </w:r>
      <w:r>
        <w:rPr>
          <w:b/>
          <w:color w:val="231F20"/>
          <w:spacing w:val="-2"/>
          <w:sz w:val="20"/>
          <w:u w:val="single" w:color="231F20"/>
        </w:rPr>
        <w:t> </w:t>
      </w:r>
      <w:r>
        <w:rPr>
          <w:b/>
          <w:color w:val="231F20"/>
          <w:spacing w:val="-3"/>
          <w:sz w:val="20"/>
          <w:u w:val="single" w:color="231F20"/>
        </w:rPr>
        <w:t>Terms</w:t>
      </w:r>
    </w:p>
    <w:p>
      <w:pPr>
        <w:pStyle w:val="ListParagraph"/>
        <w:numPr>
          <w:ilvl w:val="1"/>
          <w:numId w:val="4"/>
        </w:numPr>
        <w:tabs>
          <w:tab w:pos="2068" w:val="left" w:leader="none"/>
        </w:tabs>
        <w:spacing w:line="240" w:lineRule="auto" w:before="169" w:after="0"/>
        <w:ind w:left="2067" w:right="0" w:hanging="579"/>
        <w:jc w:val="left"/>
        <w:rPr>
          <w:sz w:val="20"/>
        </w:rPr>
      </w:pPr>
      <w:r>
        <w:rPr>
          <w:color w:val="231F20"/>
          <w:w w:val="105"/>
          <w:sz w:val="20"/>
          <w:u w:val="single" w:color="231F20"/>
        </w:rPr>
        <w:t>Advance</w:t>
      </w:r>
      <w:r>
        <w:rPr>
          <w:color w:val="231F20"/>
          <w:spacing w:val="-4"/>
          <w:w w:val="105"/>
          <w:sz w:val="20"/>
          <w:u w:val="single" w:color="231F20"/>
        </w:rPr>
        <w:t> </w:t>
      </w:r>
      <w:r>
        <w:rPr>
          <w:color w:val="231F20"/>
          <w:w w:val="105"/>
          <w:sz w:val="20"/>
          <w:u w:val="single" w:color="231F20"/>
        </w:rPr>
        <w:t>Notice</w:t>
      </w:r>
    </w:p>
    <w:p>
      <w:pPr>
        <w:pStyle w:val="BodyText"/>
        <w:spacing w:line="249" w:lineRule="auto" w:before="169"/>
        <w:ind w:left="2047" w:right="1322"/>
      </w:pPr>
      <w:r>
        <w:rPr>
          <w:color w:val="231F20"/>
          <w:w w:val="105"/>
        </w:rPr>
        <w:t>The advance notice period shall be determined individually with respect to each Executive Officer, and shall not exceed a period of six (6) months advance notice for the CEO and three</w:t>
      </w:r>
    </w:p>
    <w:p>
      <w:pPr>
        <w:pStyle w:val="ListParagraph"/>
        <w:numPr>
          <w:ilvl w:val="0"/>
          <w:numId w:val="3"/>
        </w:numPr>
        <w:tabs>
          <w:tab w:pos="2331" w:val="left" w:leader="none"/>
        </w:tabs>
        <w:spacing w:line="240" w:lineRule="auto" w:before="1" w:after="0"/>
        <w:ind w:left="2330" w:right="0" w:hanging="284"/>
        <w:jc w:val="left"/>
        <w:rPr>
          <w:sz w:val="20"/>
        </w:rPr>
      </w:pPr>
      <w:r>
        <w:rPr>
          <w:color w:val="231F20"/>
          <w:w w:val="105"/>
          <w:sz w:val="20"/>
        </w:rPr>
        <w:t>months periods </w:t>
      </w:r>
      <w:r>
        <w:rPr>
          <w:color w:val="231F20"/>
          <w:spacing w:val="-3"/>
          <w:w w:val="105"/>
          <w:sz w:val="20"/>
        </w:rPr>
        <w:t>for </w:t>
      </w:r>
      <w:r>
        <w:rPr>
          <w:color w:val="231F20"/>
          <w:w w:val="105"/>
          <w:sz w:val="20"/>
        </w:rPr>
        <w:t>other Executive</w:t>
      </w:r>
      <w:r>
        <w:rPr>
          <w:color w:val="231F20"/>
          <w:spacing w:val="-15"/>
          <w:w w:val="105"/>
          <w:sz w:val="20"/>
        </w:rPr>
        <w:t> </w:t>
      </w:r>
      <w:r>
        <w:rPr>
          <w:color w:val="231F20"/>
          <w:w w:val="105"/>
          <w:sz w:val="20"/>
        </w:rPr>
        <w:t>officers.</w:t>
      </w:r>
    </w:p>
    <w:p>
      <w:pPr>
        <w:pStyle w:val="ListParagraph"/>
        <w:numPr>
          <w:ilvl w:val="1"/>
          <w:numId w:val="4"/>
        </w:numPr>
        <w:tabs>
          <w:tab w:pos="2068" w:val="left" w:leader="none"/>
        </w:tabs>
        <w:spacing w:line="240" w:lineRule="auto" w:before="169" w:after="0"/>
        <w:ind w:left="2067" w:right="0" w:hanging="579"/>
        <w:jc w:val="left"/>
        <w:rPr>
          <w:sz w:val="20"/>
        </w:rPr>
      </w:pPr>
      <w:r>
        <w:rPr>
          <w:color w:val="231F20"/>
          <w:w w:val="110"/>
          <w:sz w:val="20"/>
          <w:u w:val="single" w:color="231F20"/>
        </w:rPr>
        <w:t>Retirement</w:t>
      </w:r>
      <w:r>
        <w:rPr>
          <w:color w:val="231F20"/>
          <w:spacing w:val="-7"/>
          <w:w w:val="110"/>
          <w:sz w:val="20"/>
          <w:u w:val="single" w:color="231F20"/>
        </w:rPr>
        <w:t> </w:t>
      </w:r>
      <w:r>
        <w:rPr>
          <w:color w:val="231F20"/>
          <w:w w:val="110"/>
          <w:sz w:val="20"/>
          <w:u w:val="single" w:color="231F20"/>
        </w:rPr>
        <w:t>Grant</w:t>
      </w:r>
    </w:p>
    <w:p>
      <w:pPr>
        <w:pStyle w:val="BodyText"/>
        <w:spacing w:line="249" w:lineRule="auto" w:before="169"/>
        <w:ind w:left="2047" w:right="1386"/>
      </w:pPr>
      <w:r>
        <w:rPr>
          <w:color w:val="231F20"/>
          <w:w w:val="105"/>
        </w:rPr>
        <w:t>An Executive Officer may become entitled to a retirement grant in the event of termination by the Company (except for “cause”), such grant to be examined in light of the period of service or employment of the Executive Officer in the Company, the terms of service, the Company’s performance during said period, the contribution of the Executive Officer to achieving the Company’s goals and its profitability, and the circumstances of retirement. The amount or value of such retirement grant shall not exceed an additional six (6) months for the CEO (provided</w:t>
      </w:r>
    </w:p>
    <w:p>
      <w:pPr>
        <w:pStyle w:val="BodyText"/>
        <w:spacing w:line="249" w:lineRule="auto" w:before="2"/>
        <w:ind w:left="2047" w:right="1322"/>
      </w:pPr>
      <w:r>
        <w:rPr>
          <w:color w:val="231F20"/>
          <w:w w:val="105"/>
        </w:rPr>
        <w:t>he</w:t>
      </w:r>
      <w:r>
        <w:rPr>
          <w:color w:val="231F20"/>
          <w:spacing w:val="-13"/>
          <w:w w:val="105"/>
        </w:rPr>
        <w:t> </w:t>
      </w:r>
      <w:r>
        <w:rPr>
          <w:color w:val="231F20"/>
          <w:w w:val="105"/>
        </w:rPr>
        <w:t>is</w:t>
      </w:r>
      <w:r>
        <w:rPr>
          <w:color w:val="231F20"/>
          <w:spacing w:val="-12"/>
          <w:w w:val="105"/>
        </w:rPr>
        <w:t> </w:t>
      </w:r>
      <w:r>
        <w:rPr>
          <w:color w:val="231F20"/>
          <w:w w:val="105"/>
        </w:rPr>
        <w:t>not</w:t>
      </w:r>
      <w:r>
        <w:rPr>
          <w:color w:val="231F20"/>
          <w:spacing w:val="-12"/>
          <w:w w:val="105"/>
        </w:rPr>
        <w:t> </w:t>
      </w:r>
      <w:r>
        <w:rPr>
          <w:color w:val="231F20"/>
          <w:w w:val="105"/>
        </w:rPr>
        <w:t>a</w:t>
      </w:r>
      <w:r>
        <w:rPr>
          <w:color w:val="231F20"/>
          <w:spacing w:val="-12"/>
          <w:w w:val="105"/>
        </w:rPr>
        <w:t> </w:t>
      </w:r>
      <w:r>
        <w:rPr>
          <w:color w:val="231F20"/>
          <w:w w:val="105"/>
        </w:rPr>
        <w:t>controlling</w:t>
      </w:r>
      <w:r>
        <w:rPr>
          <w:color w:val="231F20"/>
          <w:spacing w:val="-12"/>
          <w:w w:val="105"/>
        </w:rPr>
        <w:t> </w:t>
      </w:r>
      <w:r>
        <w:rPr>
          <w:color w:val="231F20"/>
          <w:w w:val="105"/>
        </w:rPr>
        <w:t>shareholder)</w:t>
      </w:r>
      <w:r>
        <w:rPr>
          <w:color w:val="231F20"/>
          <w:spacing w:val="-12"/>
          <w:w w:val="105"/>
        </w:rPr>
        <w:t> </w:t>
      </w:r>
      <w:r>
        <w:rPr>
          <w:color w:val="231F20"/>
          <w:w w:val="105"/>
        </w:rPr>
        <w:t>and</w:t>
      </w:r>
      <w:r>
        <w:rPr>
          <w:color w:val="231F20"/>
          <w:spacing w:val="-12"/>
          <w:w w:val="105"/>
        </w:rPr>
        <w:t> </w:t>
      </w:r>
      <w:r>
        <w:rPr>
          <w:color w:val="231F20"/>
          <w:w w:val="105"/>
        </w:rPr>
        <w:t>three</w:t>
      </w:r>
      <w:r>
        <w:rPr>
          <w:color w:val="231F20"/>
          <w:spacing w:val="-12"/>
          <w:w w:val="105"/>
        </w:rPr>
        <w:t> </w:t>
      </w:r>
      <w:r>
        <w:rPr>
          <w:color w:val="231F20"/>
          <w:w w:val="105"/>
        </w:rPr>
        <w:t>(3)</w:t>
      </w:r>
      <w:r>
        <w:rPr>
          <w:color w:val="231F20"/>
          <w:spacing w:val="-12"/>
          <w:w w:val="105"/>
        </w:rPr>
        <w:t> </w:t>
      </w:r>
      <w:r>
        <w:rPr>
          <w:color w:val="231F20"/>
          <w:w w:val="105"/>
        </w:rPr>
        <w:t>months</w:t>
      </w:r>
      <w:r>
        <w:rPr>
          <w:color w:val="231F20"/>
          <w:spacing w:val="-12"/>
          <w:w w:val="105"/>
        </w:rPr>
        <w:t> </w:t>
      </w:r>
      <w:r>
        <w:rPr>
          <w:color w:val="231F20"/>
          <w:spacing w:val="-3"/>
          <w:w w:val="105"/>
        </w:rPr>
        <w:t>for</w:t>
      </w:r>
      <w:r>
        <w:rPr>
          <w:color w:val="231F20"/>
          <w:spacing w:val="-12"/>
          <w:w w:val="105"/>
        </w:rPr>
        <w:t> </w:t>
      </w:r>
      <w:r>
        <w:rPr>
          <w:color w:val="231F20"/>
          <w:w w:val="105"/>
        </w:rPr>
        <w:t>the</w:t>
      </w:r>
      <w:r>
        <w:rPr>
          <w:color w:val="231F20"/>
          <w:spacing w:val="-12"/>
          <w:w w:val="105"/>
        </w:rPr>
        <w:t> </w:t>
      </w:r>
      <w:r>
        <w:rPr>
          <w:color w:val="231F20"/>
          <w:w w:val="105"/>
        </w:rPr>
        <w:t>Executive</w:t>
      </w:r>
      <w:r>
        <w:rPr>
          <w:color w:val="231F20"/>
          <w:spacing w:val="-12"/>
          <w:w w:val="105"/>
        </w:rPr>
        <w:t> </w:t>
      </w:r>
      <w:r>
        <w:rPr>
          <w:color w:val="231F20"/>
          <w:w w:val="105"/>
        </w:rPr>
        <w:t>Officers,</w:t>
      </w:r>
      <w:r>
        <w:rPr>
          <w:color w:val="231F20"/>
          <w:spacing w:val="-12"/>
          <w:w w:val="105"/>
        </w:rPr>
        <w:t> </w:t>
      </w:r>
      <w:r>
        <w:rPr>
          <w:color w:val="231F20"/>
          <w:w w:val="105"/>
        </w:rPr>
        <w:t>of</w:t>
      </w:r>
      <w:r>
        <w:rPr>
          <w:color w:val="231F20"/>
          <w:spacing w:val="6"/>
          <w:w w:val="105"/>
        </w:rPr>
        <w:t> </w:t>
      </w:r>
      <w:r>
        <w:rPr>
          <w:color w:val="231F20"/>
          <w:w w:val="105"/>
        </w:rPr>
        <w:t>Base</w:t>
      </w:r>
      <w:r>
        <w:rPr>
          <w:color w:val="231F20"/>
          <w:spacing w:val="-12"/>
          <w:w w:val="105"/>
        </w:rPr>
        <w:t> </w:t>
      </w:r>
      <w:r>
        <w:rPr>
          <w:color w:val="231F20"/>
          <w:spacing w:val="-6"/>
          <w:w w:val="105"/>
        </w:rPr>
        <w:t>Salary, </w:t>
      </w:r>
      <w:r>
        <w:rPr>
          <w:color w:val="231F20"/>
          <w:spacing w:val="-3"/>
          <w:w w:val="105"/>
        </w:rPr>
        <w:t>all </w:t>
      </w:r>
      <w:r>
        <w:rPr>
          <w:color w:val="231F20"/>
          <w:w w:val="105"/>
        </w:rPr>
        <w:t>in addition to the Advance</w:t>
      </w:r>
      <w:r>
        <w:rPr>
          <w:color w:val="231F20"/>
          <w:spacing w:val="-16"/>
          <w:w w:val="105"/>
        </w:rPr>
        <w:t> </w:t>
      </w:r>
      <w:r>
        <w:rPr>
          <w:color w:val="231F20"/>
          <w:w w:val="105"/>
        </w:rPr>
        <w:t>Notice.</w:t>
      </w:r>
    </w:p>
    <w:p>
      <w:pPr>
        <w:pStyle w:val="ListParagraph"/>
        <w:numPr>
          <w:ilvl w:val="1"/>
          <w:numId w:val="4"/>
        </w:numPr>
        <w:tabs>
          <w:tab w:pos="2068" w:val="left" w:leader="none"/>
        </w:tabs>
        <w:spacing w:line="240" w:lineRule="auto" w:before="160" w:after="0"/>
        <w:ind w:left="2067" w:right="0" w:hanging="579"/>
        <w:jc w:val="left"/>
        <w:rPr>
          <w:sz w:val="20"/>
        </w:rPr>
      </w:pPr>
      <w:r>
        <w:rPr>
          <w:color w:val="231F20"/>
          <w:w w:val="110"/>
          <w:sz w:val="20"/>
          <w:u w:val="single" w:color="231F20"/>
        </w:rPr>
        <w:t>Retirement Grant in Case of Change of</w:t>
      </w:r>
      <w:r>
        <w:rPr>
          <w:color w:val="231F20"/>
          <w:spacing w:val="-11"/>
          <w:w w:val="110"/>
          <w:sz w:val="20"/>
          <w:u w:val="single" w:color="231F20"/>
        </w:rPr>
        <w:t> </w:t>
      </w:r>
      <w:r>
        <w:rPr>
          <w:color w:val="231F20"/>
          <w:w w:val="110"/>
          <w:sz w:val="20"/>
          <w:u w:val="single" w:color="231F20"/>
        </w:rPr>
        <w:t>Control</w:t>
      </w:r>
    </w:p>
    <w:p>
      <w:pPr>
        <w:pStyle w:val="BodyText"/>
        <w:spacing w:line="249" w:lineRule="auto" w:before="169"/>
        <w:ind w:left="2047" w:right="1430"/>
      </w:pPr>
      <w:r>
        <w:rPr>
          <w:color w:val="231F20"/>
          <w:w w:val="105"/>
        </w:rPr>
        <w:t>Upon termination of service or employment by the Company (except </w:t>
      </w:r>
      <w:r>
        <w:rPr>
          <w:color w:val="231F20"/>
          <w:spacing w:val="-3"/>
          <w:w w:val="105"/>
        </w:rPr>
        <w:t>for </w:t>
      </w:r>
      <w:r>
        <w:rPr>
          <w:color w:val="231F20"/>
          <w:w w:val="105"/>
        </w:rPr>
        <w:t>“cause”) of the CEO, or by the CEO (provided he is not a controlling shareholder) resulting from a Change of </w:t>
      </w:r>
      <w:r>
        <w:rPr>
          <w:color w:val="231F20"/>
          <w:spacing w:val="-3"/>
          <w:w w:val="105"/>
        </w:rPr>
        <w:t>Control </w:t>
      </w:r>
      <w:r>
        <w:rPr>
          <w:color w:val="231F20"/>
          <w:w w:val="105"/>
        </w:rPr>
        <w:t>event, and during a six (6) months period following the closing date of such event, such terminated CEO </w:t>
      </w:r>
      <w:r>
        <w:rPr>
          <w:color w:val="231F20"/>
          <w:spacing w:val="-3"/>
          <w:w w:val="105"/>
        </w:rPr>
        <w:t>may </w:t>
      </w:r>
      <w:r>
        <w:rPr>
          <w:color w:val="231F20"/>
          <w:w w:val="105"/>
        </w:rPr>
        <w:t>be entitled to an additional retirement grant of  up to three (3) times of such CEO monthly Base </w:t>
      </w:r>
      <w:r>
        <w:rPr>
          <w:color w:val="231F20"/>
          <w:spacing w:val="-5"/>
          <w:w w:val="105"/>
        </w:rPr>
        <w:t>Salary. </w:t>
      </w:r>
      <w:r>
        <w:rPr>
          <w:color w:val="231F20"/>
          <w:w w:val="105"/>
        </w:rPr>
        <w:t>Company </w:t>
      </w:r>
      <w:r>
        <w:rPr>
          <w:color w:val="231F20"/>
          <w:spacing w:val="-3"/>
          <w:w w:val="105"/>
        </w:rPr>
        <w:t>may </w:t>
      </w:r>
      <w:r>
        <w:rPr>
          <w:color w:val="231F20"/>
          <w:w w:val="105"/>
        </w:rPr>
        <w:t>elect to </w:t>
      </w:r>
      <w:r>
        <w:rPr>
          <w:color w:val="231F20"/>
          <w:spacing w:val="-3"/>
          <w:w w:val="105"/>
        </w:rPr>
        <w:t>pay </w:t>
      </w:r>
      <w:r>
        <w:rPr>
          <w:color w:val="231F20"/>
          <w:w w:val="105"/>
        </w:rPr>
        <w:t>such additional grant, to the extent </w:t>
      </w:r>
      <w:r>
        <w:rPr>
          <w:color w:val="231F20"/>
          <w:spacing w:val="-3"/>
          <w:w w:val="105"/>
        </w:rPr>
        <w:t>approved, </w:t>
      </w:r>
      <w:r>
        <w:rPr>
          <w:color w:val="231F20"/>
          <w:w w:val="105"/>
        </w:rPr>
        <w:t>by acceleration of </w:t>
      </w:r>
      <w:r>
        <w:rPr>
          <w:color w:val="231F20"/>
          <w:spacing w:val="-3"/>
          <w:w w:val="105"/>
        </w:rPr>
        <w:t>any </w:t>
      </w:r>
      <w:r>
        <w:rPr>
          <w:color w:val="231F20"/>
          <w:w w:val="105"/>
        </w:rPr>
        <w:t>future grants to the extent same exist under the employment agreement of </w:t>
      </w:r>
      <w:r>
        <w:rPr>
          <w:color w:val="231F20"/>
          <w:spacing w:val="-3"/>
          <w:w w:val="105"/>
        </w:rPr>
        <w:t>any </w:t>
      </w:r>
      <w:r>
        <w:rPr>
          <w:color w:val="231F20"/>
          <w:w w:val="105"/>
        </w:rPr>
        <w:t>so eligible </w:t>
      </w:r>
      <w:r>
        <w:rPr>
          <w:color w:val="231F20"/>
          <w:spacing w:val="-3"/>
          <w:w w:val="105"/>
        </w:rPr>
        <w:t>CEO. </w:t>
      </w:r>
      <w:r>
        <w:rPr>
          <w:b/>
          <w:color w:val="231F20"/>
          <w:w w:val="105"/>
        </w:rPr>
        <w:t>“Change of Control” </w:t>
      </w:r>
      <w:r>
        <w:rPr>
          <w:color w:val="231F20"/>
          <w:w w:val="105"/>
        </w:rPr>
        <w:t>— as such term is defined under the Israeli Companies</w:t>
      </w:r>
      <w:r>
        <w:rPr>
          <w:color w:val="231F20"/>
          <w:spacing w:val="-7"/>
          <w:w w:val="105"/>
        </w:rPr>
        <w:t> </w:t>
      </w:r>
      <w:r>
        <w:rPr>
          <w:color w:val="231F20"/>
          <w:spacing w:val="-9"/>
          <w:w w:val="105"/>
        </w:rPr>
        <w:t>Law.</w:t>
      </w:r>
    </w:p>
    <w:p>
      <w:pPr>
        <w:pStyle w:val="BodyText"/>
        <w:rPr>
          <w:sz w:val="21"/>
        </w:rPr>
      </w:pPr>
    </w:p>
    <w:p>
      <w:pPr>
        <w:pStyle w:val="ListParagraph"/>
        <w:numPr>
          <w:ilvl w:val="0"/>
          <w:numId w:val="4"/>
        </w:numPr>
        <w:tabs>
          <w:tab w:pos="1490" w:val="left" w:leader="none"/>
        </w:tabs>
        <w:spacing w:line="240" w:lineRule="auto" w:before="1" w:after="0"/>
        <w:ind w:left="1489" w:right="0" w:hanging="400"/>
        <w:jc w:val="left"/>
        <w:rPr>
          <w:b/>
          <w:sz w:val="20"/>
        </w:rPr>
      </w:pPr>
      <w:r>
        <w:rPr>
          <w:b/>
          <w:color w:val="231F20"/>
          <w:sz w:val="20"/>
          <w:u w:val="single" w:color="231F20"/>
        </w:rPr>
        <w:t>Claw</w:t>
      </w:r>
      <w:r>
        <w:rPr>
          <w:b/>
          <w:color w:val="231F20"/>
          <w:spacing w:val="-2"/>
          <w:sz w:val="20"/>
          <w:u w:val="single" w:color="231F20"/>
        </w:rPr>
        <w:t> </w:t>
      </w:r>
      <w:r>
        <w:rPr>
          <w:b/>
          <w:color w:val="231F20"/>
          <w:sz w:val="20"/>
          <w:u w:val="single" w:color="231F20"/>
        </w:rPr>
        <w:t>Back</w:t>
      </w:r>
    </w:p>
    <w:p>
      <w:pPr>
        <w:pStyle w:val="BodyText"/>
        <w:spacing w:line="249" w:lineRule="auto" w:before="169"/>
        <w:ind w:left="1489" w:right="1322"/>
      </w:pPr>
      <w:r>
        <w:rPr>
          <w:color w:val="231F20"/>
          <w:w w:val="105"/>
        </w:rPr>
        <w:t>The Company has a policy that sets forth the circumstances and procedures under which the Company shall recover certain compensation from Executive Officers in the event of a material financial restatement. The compensation recovery policy is attached as </w:t>
      </w:r>
      <w:r>
        <w:rPr>
          <w:color w:val="231F20"/>
          <w:w w:val="105"/>
          <w:u w:val="single" w:color="231F20"/>
        </w:rPr>
        <w:t>Annex A</w:t>
      </w:r>
      <w:r>
        <w:rPr>
          <w:color w:val="231F20"/>
          <w:w w:val="105"/>
        </w:rPr>
        <w:t> to this Compensation Policy.</w:t>
      </w:r>
    </w:p>
    <w:p>
      <w:pPr>
        <w:spacing w:after="0" w:line="249" w:lineRule="auto"/>
        <w:sectPr>
          <w:pgSz w:w="11880" w:h="15480"/>
          <w:pgMar w:header="0" w:footer="664" w:top="940" w:bottom="860" w:left="300" w:right="0"/>
        </w:sectPr>
      </w:pPr>
    </w:p>
    <w:p>
      <w:pPr>
        <w:pStyle w:val="BodyText"/>
        <w:spacing w:before="87"/>
        <w:ind w:left="1720" w:right="2017"/>
        <w:jc w:val="center"/>
      </w:pPr>
      <w:r>
        <w:rPr>
          <w:color w:val="231F20"/>
          <w:w w:val="105"/>
          <w:u w:val="single" w:color="231F20"/>
        </w:rPr>
        <w:t>Annex A</w:t>
      </w:r>
    </w:p>
    <w:p>
      <w:pPr>
        <w:pStyle w:val="BodyText"/>
        <w:spacing w:before="4"/>
        <w:rPr>
          <w:sz w:val="21"/>
        </w:rPr>
      </w:pPr>
    </w:p>
    <w:p>
      <w:pPr>
        <w:pStyle w:val="Heading2"/>
        <w:ind w:left="1720" w:right="2017"/>
        <w:jc w:val="center"/>
      </w:pPr>
      <w:r>
        <w:rPr>
          <w:color w:val="231F20"/>
        </w:rPr>
        <w:t>SHL Telemedicine Ltd.</w:t>
      </w:r>
    </w:p>
    <w:p>
      <w:pPr>
        <w:spacing w:before="125"/>
        <w:ind w:left="1720" w:right="2017" w:firstLine="0"/>
        <w:jc w:val="center"/>
        <w:rPr>
          <w:b/>
          <w:sz w:val="20"/>
        </w:rPr>
      </w:pPr>
      <w:r>
        <w:rPr>
          <w:b/>
          <w:color w:val="231F20"/>
          <w:sz w:val="20"/>
          <w:u w:val="single" w:color="231F20"/>
        </w:rPr>
        <w:t>Nasdaq Compensation Recovery Policy</w:t>
      </w:r>
    </w:p>
    <w:p>
      <w:pPr>
        <w:pStyle w:val="BodyText"/>
        <w:spacing w:before="7"/>
        <w:rPr>
          <w:b/>
          <w:sz w:val="21"/>
        </w:rPr>
      </w:pPr>
    </w:p>
    <w:p>
      <w:pPr>
        <w:pStyle w:val="Heading2"/>
        <w:numPr>
          <w:ilvl w:val="0"/>
          <w:numId w:val="12"/>
        </w:numPr>
        <w:tabs>
          <w:tab w:pos="1444" w:val="left" w:leader="none"/>
        </w:tabs>
        <w:spacing w:line="240" w:lineRule="auto" w:before="1" w:after="0"/>
        <w:ind w:left="1443" w:right="0" w:hanging="354"/>
        <w:jc w:val="left"/>
      </w:pPr>
      <w:r>
        <w:rPr>
          <w:color w:val="231F20"/>
        </w:rPr>
        <w:t>Overview</w:t>
      </w:r>
    </w:p>
    <w:p>
      <w:pPr>
        <w:pStyle w:val="BodyText"/>
        <w:spacing w:line="244" w:lineRule="auto" w:before="169"/>
        <w:ind w:left="1090" w:right="1322" w:firstLine="399"/>
      </w:pPr>
      <w:r>
        <w:rPr>
          <w:color w:val="231F20"/>
          <w:w w:val="105"/>
        </w:rPr>
        <w:t>This Policy sets forth the circumstances and procedures under which SHL Telemedicine (the “Company”) shall recover Erroneously Awarded Compensation from Covered Persons (as defined below) in accordance with rules issued by the United States Securities and Exchange Commission (the “</w:t>
      </w:r>
      <w:r>
        <w:rPr>
          <w:b/>
          <w:color w:val="231F20"/>
          <w:w w:val="105"/>
        </w:rPr>
        <w:t>SEC</w:t>
      </w:r>
      <w:r>
        <w:rPr>
          <w:color w:val="231F20"/>
          <w:w w:val="105"/>
        </w:rPr>
        <w:t>”)</w:t>
      </w:r>
    </w:p>
    <w:p>
      <w:pPr>
        <w:pStyle w:val="BodyText"/>
        <w:spacing w:line="244" w:lineRule="auto" w:before="2"/>
        <w:ind w:left="1090" w:right="1296"/>
      </w:pPr>
      <w:r>
        <w:rPr>
          <w:color w:val="231F20"/>
          <w:w w:val="105"/>
        </w:rPr>
        <w:t>under the Securities Exchange Act of 1934, as amended (the “</w:t>
      </w:r>
      <w:r>
        <w:rPr>
          <w:b/>
          <w:color w:val="231F20"/>
          <w:w w:val="105"/>
        </w:rPr>
        <w:t>Exchange Act</w:t>
      </w:r>
      <w:r>
        <w:rPr>
          <w:color w:val="231F20"/>
          <w:w w:val="105"/>
        </w:rPr>
        <w:t>”), and listing standards adopted by the Exchange. Capitalized terms used and not otherwise defined herein shall have the meanings set</w:t>
      </w:r>
    </w:p>
    <w:p>
      <w:pPr>
        <w:pStyle w:val="BodyText"/>
        <w:spacing w:before="2"/>
        <w:ind w:left="1090"/>
      </w:pPr>
      <w:r>
        <w:rPr>
          <w:color w:val="231F20"/>
          <w:w w:val="105"/>
        </w:rPr>
        <w:t>forth in Section 3 below.</w:t>
      </w:r>
    </w:p>
    <w:p>
      <w:pPr>
        <w:pStyle w:val="BodyText"/>
        <w:spacing w:before="4"/>
        <w:rPr>
          <w:sz w:val="21"/>
        </w:rPr>
      </w:pPr>
    </w:p>
    <w:p>
      <w:pPr>
        <w:pStyle w:val="Heading2"/>
        <w:numPr>
          <w:ilvl w:val="0"/>
          <w:numId w:val="12"/>
        </w:numPr>
        <w:tabs>
          <w:tab w:pos="1444" w:val="left" w:leader="none"/>
        </w:tabs>
        <w:spacing w:line="240" w:lineRule="auto" w:before="0" w:after="0"/>
        <w:ind w:left="1443" w:right="0" w:hanging="354"/>
        <w:jc w:val="left"/>
      </w:pPr>
      <w:r>
        <w:rPr>
          <w:color w:val="231F20"/>
        </w:rPr>
        <w:t>Compensation </w:t>
      </w:r>
      <w:r>
        <w:rPr>
          <w:color w:val="231F20"/>
          <w:spacing w:val="-3"/>
        </w:rPr>
        <w:t>Recovery</w:t>
      </w:r>
      <w:r>
        <w:rPr>
          <w:color w:val="231F20"/>
          <w:spacing w:val="-5"/>
        </w:rPr>
        <w:t> </w:t>
      </w:r>
      <w:r>
        <w:rPr>
          <w:color w:val="231F20"/>
        </w:rPr>
        <w:t>Requirement</w:t>
      </w:r>
    </w:p>
    <w:p>
      <w:pPr>
        <w:pStyle w:val="BodyText"/>
        <w:spacing w:line="247" w:lineRule="auto" w:before="169"/>
        <w:ind w:left="1090" w:right="1371" w:firstLine="399"/>
      </w:pPr>
      <w:r>
        <w:rPr>
          <w:color w:val="231F20"/>
          <w:w w:val="110"/>
        </w:rPr>
        <w:t>In</w:t>
      </w:r>
      <w:r>
        <w:rPr>
          <w:color w:val="231F20"/>
          <w:spacing w:val="-21"/>
          <w:w w:val="110"/>
        </w:rPr>
        <w:t> </w:t>
      </w:r>
      <w:r>
        <w:rPr>
          <w:color w:val="231F20"/>
          <w:w w:val="110"/>
        </w:rPr>
        <w:t>the</w:t>
      </w:r>
      <w:r>
        <w:rPr>
          <w:color w:val="231F20"/>
          <w:spacing w:val="-21"/>
          <w:w w:val="110"/>
        </w:rPr>
        <w:t> </w:t>
      </w:r>
      <w:r>
        <w:rPr>
          <w:color w:val="231F20"/>
          <w:w w:val="110"/>
        </w:rPr>
        <w:t>event</w:t>
      </w:r>
      <w:r>
        <w:rPr>
          <w:color w:val="231F20"/>
          <w:spacing w:val="-21"/>
          <w:w w:val="110"/>
        </w:rPr>
        <w:t> </w:t>
      </w:r>
      <w:r>
        <w:rPr>
          <w:color w:val="231F20"/>
          <w:w w:val="110"/>
        </w:rPr>
        <w:t>the</w:t>
      </w:r>
      <w:r>
        <w:rPr>
          <w:color w:val="231F20"/>
          <w:spacing w:val="-21"/>
          <w:w w:val="110"/>
        </w:rPr>
        <w:t> </w:t>
      </w:r>
      <w:r>
        <w:rPr>
          <w:color w:val="231F20"/>
          <w:w w:val="110"/>
        </w:rPr>
        <w:t>Company</w:t>
      </w:r>
      <w:r>
        <w:rPr>
          <w:color w:val="231F20"/>
          <w:spacing w:val="-21"/>
          <w:w w:val="110"/>
        </w:rPr>
        <w:t> </w:t>
      </w:r>
      <w:r>
        <w:rPr>
          <w:color w:val="231F20"/>
          <w:w w:val="110"/>
        </w:rPr>
        <w:t>is</w:t>
      </w:r>
      <w:r>
        <w:rPr>
          <w:color w:val="231F20"/>
          <w:spacing w:val="-21"/>
          <w:w w:val="110"/>
        </w:rPr>
        <w:t> </w:t>
      </w:r>
      <w:r>
        <w:rPr>
          <w:color w:val="231F20"/>
          <w:w w:val="110"/>
        </w:rPr>
        <w:t>required</w:t>
      </w:r>
      <w:r>
        <w:rPr>
          <w:color w:val="231F20"/>
          <w:spacing w:val="-21"/>
          <w:w w:val="110"/>
        </w:rPr>
        <w:t> </w:t>
      </w:r>
      <w:r>
        <w:rPr>
          <w:color w:val="231F20"/>
          <w:w w:val="110"/>
        </w:rPr>
        <w:t>to</w:t>
      </w:r>
      <w:r>
        <w:rPr>
          <w:color w:val="231F20"/>
          <w:spacing w:val="-21"/>
          <w:w w:val="110"/>
        </w:rPr>
        <w:t> </w:t>
      </w:r>
      <w:r>
        <w:rPr>
          <w:color w:val="231F20"/>
          <w:w w:val="110"/>
        </w:rPr>
        <w:t>prepare</w:t>
      </w:r>
      <w:r>
        <w:rPr>
          <w:color w:val="231F20"/>
          <w:spacing w:val="-21"/>
          <w:w w:val="110"/>
        </w:rPr>
        <w:t> </w:t>
      </w:r>
      <w:r>
        <w:rPr>
          <w:color w:val="231F20"/>
          <w:w w:val="110"/>
        </w:rPr>
        <w:t>a</w:t>
      </w:r>
      <w:r>
        <w:rPr>
          <w:color w:val="231F20"/>
          <w:spacing w:val="-21"/>
          <w:w w:val="110"/>
        </w:rPr>
        <w:t> </w:t>
      </w:r>
      <w:r>
        <w:rPr>
          <w:color w:val="231F20"/>
          <w:w w:val="110"/>
        </w:rPr>
        <w:t>Material</w:t>
      </w:r>
      <w:r>
        <w:rPr>
          <w:color w:val="231F20"/>
          <w:spacing w:val="-21"/>
          <w:w w:val="110"/>
        </w:rPr>
        <w:t> </w:t>
      </w:r>
      <w:r>
        <w:rPr>
          <w:color w:val="231F20"/>
          <w:w w:val="110"/>
        </w:rPr>
        <w:t>Financial</w:t>
      </w:r>
      <w:r>
        <w:rPr>
          <w:color w:val="231F20"/>
          <w:spacing w:val="-21"/>
          <w:w w:val="110"/>
        </w:rPr>
        <w:t> </w:t>
      </w:r>
      <w:r>
        <w:rPr>
          <w:color w:val="231F20"/>
          <w:w w:val="110"/>
        </w:rPr>
        <w:t>Restatement,</w:t>
      </w:r>
      <w:r>
        <w:rPr>
          <w:color w:val="231F20"/>
          <w:spacing w:val="-20"/>
          <w:w w:val="110"/>
        </w:rPr>
        <w:t> </w:t>
      </w:r>
      <w:r>
        <w:rPr>
          <w:color w:val="231F20"/>
          <w:w w:val="110"/>
        </w:rPr>
        <w:t>the</w:t>
      </w:r>
      <w:r>
        <w:rPr>
          <w:color w:val="231F20"/>
          <w:spacing w:val="-21"/>
          <w:w w:val="110"/>
        </w:rPr>
        <w:t> </w:t>
      </w:r>
      <w:r>
        <w:rPr>
          <w:color w:val="231F20"/>
          <w:w w:val="110"/>
        </w:rPr>
        <w:t>Company</w:t>
      </w:r>
      <w:r>
        <w:rPr>
          <w:color w:val="231F20"/>
          <w:spacing w:val="-21"/>
          <w:w w:val="110"/>
        </w:rPr>
        <w:t> </w:t>
      </w:r>
      <w:r>
        <w:rPr>
          <w:color w:val="231F20"/>
          <w:w w:val="110"/>
        </w:rPr>
        <w:t>shall recover</w:t>
      </w:r>
      <w:r>
        <w:rPr>
          <w:color w:val="231F20"/>
          <w:spacing w:val="-39"/>
          <w:w w:val="110"/>
        </w:rPr>
        <w:t> </w:t>
      </w:r>
      <w:r>
        <w:rPr>
          <w:color w:val="231F20"/>
          <w:w w:val="110"/>
        </w:rPr>
        <w:t>reasonably</w:t>
      </w:r>
      <w:r>
        <w:rPr>
          <w:color w:val="231F20"/>
          <w:spacing w:val="-39"/>
          <w:w w:val="110"/>
        </w:rPr>
        <w:t> </w:t>
      </w:r>
      <w:r>
        <w:rPr>
          <w:color w:val="231F20"/>
          <w:w w:val="110"/>
        </w:rPr>
        <w:t>promptly</w:t>
      </w:r>
      <w:r>
        <w:rPr>
          <w:color w:val="231F20"/>
          <w:spacing w:val="-39"/>
          <w:w w:val="110"/>
        </w:rPr>
        <w:t> </w:t>
      </w:r>
      <w:r>
        <w:rPr>
          <w:color w:val="231F20"/>
          <w:spacing w:val="-3"/>
          <w:w w:val="110"/>
        </w:rPr>
        <w:t>all</w:t>
      </w:r>
      <w:r>
        <w:rPr>
          <w:color w:val="231F20"/>
          <w:spacing w:val="-39"/>
          <w:w w:val="110"/>
        </w:rPr>
        <w:t> </w:t>
      </w:r>
      <w:r>
        <w:rPr>
          <w:color w:val="231F20"/>
          <w:w w:val="110"/>
        </w:rPr>
        <w:t>Erroneously</w:t>
      </w:r>
      <w:r>
        <w:rPr>
          <w:color w:val="231F20"/>
          <w:spacing w:val="-39"/>
          <w:w w:val="110"/>
        </w:rPr>
        <w:t> </w:t>
      </w:r>
      <w:r>
        <w:rPr>
          <w:color w:val="231F20"/>
          <w:spacing w:val="-4"/>
          <w:w w:val="110"/>
        </w:rPr>
        <w:t>Awarded</w:t>
      </w:r>
      <w:r>
        <w:rPr>
          <w:color w:val="231F20"/>
          <w:spacing w:val="-39"/>
          <w:w w:val="110"/>
        </w:rPr>
        <w:t> </w:t>
      </w:r>
      <w:r>
        <w:rPr>
          <w:color w:val="231F20"/>
          <w:w w:val="110"/>
        </w:rPr>
        <w:t>Compensation</w:t>
      </w:r>
      <w:r>
        <w:rPr>
          <w:color w:val="231F20"/>
          <w:spacing w:val="-39"/>
          <w:w w:val="110"/>
        </w:rPr>
        <w:t> </w:t>
      </w:r>
      <w:r>
        <w:rPr>
          <w:color w:val="231F20"/>
          <w:w w:val="110"/>
        </w:rPr>
        <w:t>with</w:t>
      </w:r>
      <w:r>
        <w:rPr>
          <w:color w:val="231F20"/>
          <w:spacing w:val="-39"/>
          <w:w w:val="110"/>
        </w:rPr>
        <w:t> </w:t>
      </w:r>
      <w:r>
        <w:rPr>
          <w:color w:val="231F20"/>
          <w:w w:val="110"/>
        </w:rPr>
        <w:t>respect</w:t>
      </w:r>
      <w:r>
        <w:rPr>
          <w:color w:val="231F20"/>
          <w:spacing w:val="-39"/>
          <w:w w:val="110"/>
        </w:rPr>
        <w:t> </w:t>
      </w:r>
      <w:r>
        <w:rPr>
          <w:color w:val="231F20"/>
          <w:w w:val="110"/>
        </w:rPr>
        <w:t>to</w:t>
      </w:r>
      <w:r>
        <w:rPr>
          <w:color w:val="231F20"/>
          <w:spacing w:val="-39"/>
          <w:w w:val="110"/>
        </w:rPr>
        <w:t> </w:t>
      </w:r>
      <w:r>
        <w:rPr>
          <w:color w:val="231F20"/>
          <w:w w:val="110"/>
        </w:rPr>
        <w:t>such</w:t>
      </w:r>
      <w:r>
        <w:rPr>
          <w:color w:val="231F20"/>
          <w:spacing w:val="-39"/>
          <w:w w:val="110"/>
        </w:rPr>
        <w:t> </w:t>
      </w:r>
      <w:r>
        <w:rPr>
          <w:color w:val="231F20"/>
          <w:w w:val="110"/>
        </w:rPr>
        <w:t>Material</w:t>
      </w:r>
      <w:r>
        <w:rPr>
          <w:color w:val="231F20"/>
          <w:spacing w:val="-39"/>
          <w:w w:val="110"/>
        </w:rPr>
        <w:t> </w:t>
      </w:r>
      <w:r>
        <w:rPr>
          <w:color w:val="231F20"/>
          <w:w w:val="110"/>
        </w:rPr>
        <w:t>Financial Restatement.</w:t>
      </w:r>
    </w:p>
    <w:p>
      <w:pPr>
        <w:pStyle w:val="BodyText"/>
        <w:rPr>
          <w:sz w:val="21"/>
        </w:rPr>
      </w:pPr>
    </w:p>
    <w:p>
      <w:pPr>
        <w:pStyle w:val="Heading2"/>
        <w:numPr>
          <w:ilvl w:val="0"/>
          <w:numId w:val="12"/>
        </w:numPr>
        <w:tabs>
          <w:tab w:pos="1444" w:val="left" w:leader="none"/>
        </w:tabs>
        <w:spacing w:line="240" w:lineRule="auto" w:before="0" w:after="0"/>
        <w:ind w:left="1443" w:right="0" w:hanging="354"/>
        <w:jc w:val="left"/>
      </w:pPr>
      <w:r>
        <w:rPr>
          <w:color w:val="231F20"/>
        </w:rPr>
        <w:t>Definitions</w:t>
      </w:r>
    </w:p>
    <w:p>
      <w:pPr>
        <w:pStyle w:val="ListParagraph"/>
        <w:numPr>
          <w:ilvl w:val="1"/>
          <w:numId w:val="12"/>
        </w:numPr>
        <w:tabs>
          <w:tab w:pos="1888" w:val="left" w:leader="none"/>
          <w:tab w:pos="1889" w:val="left" w:leader="none"/>
        </w:tabs>
        <w:spacing w:line="247" w:lineRule="auto" w:before="169" w:after="0"/>
        <w:ind w:left="1888" w:right="1386" w:hanging="400"/>
        <w:jc w:val="left"/>
        <w:rPr>
          <w:sz w:val="20"/>
        </w:rPr>
      </w:pPr>
      <w:r>
        <w:rPr>
          <w:color w:val="231F20"/>
          <w:spacing w:val="-4"/>
          <w:w w:val="105"/>
          <w:sz w:val="20"/>
        </w:rPr>
        <w:t>“</w:t>
      </w:r>
      <w:r>
        <w:rPr>
          <w:color w:val="231F20"/>
          <w:spacing w:val="-4"/>
          <w:w w:val="105"/>
          <w:sz w:val="20"/>
          <w:u w:val="single" w:color="231F20"/>
        </w:rPr>
        <w:t>Applicable </w:t>
      </w:r>
      <w:r>
        <w:rPr>
          <w:color w:val="231F20"/>
          <w:spacing w:val="-3"/>
          <w:w w:val="105"/>
          <w:sz w:val="20"/>
          <w:u w:val="single" w:color="231F20"/>
        </w:rPr>
        <w:t>Recovery </w:t>
      </w:r>
      <w:r>
        <w:rPr>
          <w:color w:val="231F20"/>
          <w:w w:val="105"/>
          <w:sz w:val="20"/>
          <w:u w:val="single" w:color="231F20"/>
        </w:rPr>
        <w:t>Period</w:t>
      </w:r>
      <w:r>
        <w:rPr>
          <w:color w:val="231F20"/>
          <w:w w:val="105"/>
          <w:sz w:val="20"/>
        </w:rPr>
        <w:t>” means the three completed fiscal years immediately preceding the Restatement Date </w:t>
      </w:r>
      <w:r>
        <w:rPr>
          <w:color w:val="231F20"/>
          <w:spacing w:val="-3"/>
          <w:w w:val="105"/>
          <w:sz w:val="20"/>
        </w:rPr>
        <w:t>for </w:t>
      </w:r>
      <w:r>
        <w:rPr>
          <w:color w:val="231F20"/>
          <w:w w:val="105"/>
          <w:sz w:val="20"/>
        </w:rPr>
        <w:t>a Material Financial Restatement. In addition, in the event the Company has changed its fiscal year: (i) </w:t>
      </w:r>
      <w:r>
        <w:rPr>
          <w:color w:val="231F20"/>
          <w:spacing w:val="-3"/>
          <w:w w:val="105"/>
          <w:sz w:val="20"/>
        </w:rPr>
        <w:t>any </w:t>
      </w:r>
      <w:r>
        <w:rPr>
          <w:color w:val="231F20"/>
          <w:w w:val="105"/>
          <w:sz w:val="20"/>
        </w:rPr>
        <w:t>transition period of less than nine months occurring within or immediately following such three completed fiscal years shall </w:t>
      </w:r>
      <w:r>
        <w:rPr>
          <w:color w:val="231F20"/>
          <w:spacing w:val="-3"/>
          <w:w w:val="105"/>
          <w:sz w:val="20"/>
        </w:rPr>
        <w:t>also </w:t>
      </w:r>
      <w:r>
        <w:rPr>
          <w:color w:val="231F20"/>
          <w:w w:val="105"/>
          <w:sz w:val="20"/>
        </w:rPr>
        <w:t>be part of such Applicable </w:t>
      </w:r>
      <w:r>
        <w:rPr>
          <w:color w:val="231F20"/>
          <w:spacing w:val="-3"/>
          <w:w w:val="105"/>
          <w:sz w:val="20"/>
        </w:rPr>
        <w:t>Recovery </w:t>
      </w:r>
      <w:r>
        <w:rPr>
          <w:color w:val="231F20"/>
          <w:w w:val="105"/>
          <w:sz w:val="20"/>
        </w:rPr>
        <w:t>Period and (ii) </w:t>
      </w:r>
      <w:r>
        <w:rPr>
          <w:color w:val="231F20"/>
          <w:spacing w:val="-3"/>
          <w:w w:val="105"/>
          <w:sz w:val="20"/>
        </w:rPr>
        <w:t>any </w:t>
      </w:r>
      <w:r>
        <w:rPr>
          <w:color w:val="231F20"/>
          <w:w w:val="105"/>
          <w:sz w:val="20"/>
        </w:rPr>
        <w:t>transition period of nine to 12 months will be deemed to be a completed fiscal</w:t>
      </w:r>
      <w:r>
        <w:rPr>
          <w:color w:val="231F20"/>
          <w:spacing w:val="-8"/>
          <w:w w:val="105"/>
          <w:sz w:val="20"/>
        </w:rPr>
        <w:t> </w:t>
      </w:r>
      <w:r>
        <w:rPr>
          <w:color w:val="231F20"/>
          <w:spacing w:val="-3"/>
          <w:w w:val="105"/>
          <w:sz w:val="20"/>
        </w:rPr>
        <w:t>year.</w:t>
      </w:r>
    </w:p>
    <w:p>
      <w:pPr>
        <w:pStyle w:val="ListParagraph"/>
        <w:numPr>
          <w:ilvl w:val="1"/>
          <w:numId w:val="12"/>
        </w:numPr>
        <w:tabs>
          <w:tab w:pos="1888" w:val="left" w:leader="none"/>
          <w:tab w:pos="1889" w:val="left" w:leader="none"/>
        </w:tabs>
        <w:spacing w:line="247" w:lineRule="auto" w:before="163" w:after="0"/>
        <w:ind w:left="1888" w:right="1386" w:hanging="400"/>
        <w:jc w:val="left"/>
        <w:rPr>
          <w:sz w:val="20"/>
        </w:rPr>
      </w:pPr>
      <w:r>
        <w:rPr>
          <w:color w:val="231F20"/>
          <w:spacing w:val="-4"/>
          <w:w w:val="105"/>
          <w:sz w:val="20"/>
        </w:rPr>
        <w:t>“</w:t>
      </w:r>
      <w:r>
        <w:rPr>
          <w:color w:val="231F20"/>
          <w:spacing w:val="-4"/>
          <w:w w:val="105"/>
          <w:sz w:val="20"/>
          <w:u w:val="single" w:color="231F20"/>
        </w:rPr>
        <w:t>Applicable</w:t>
      </w:r>
      <w:r>
        <w:rPr>
          <w:color w:val="231F20"/>
          <w:spacing w:val="-5"/>
          <w:w w:val="105"/>
          <w:sz w:val="20"/>
          <w:u w:val="single" w:color="231F20"/>
        </w:rPr>
        <w:t> </w:t>
      </w:r>
      <w:r>
        <w:rPr>
          <w:color w:val="231F20"/>
          <w:spacing w:val="-3"/>
          <w:w w:val="105"/>
          <w:sz w:val="20"/>
          <w:u w:val="single" w:color="231F20"/>
        </w:rPr>
        <w:t>Rules</w:t>
      </w:r>
      <w:r>
        <w:rPr>
          <w:color w:val="231F20"/>
          <w:spacing w:val="-3"/>
          <w:w w:val="105"/>
          <w:sz w:val="20"/>
        </w:rPr>
        <w:t>”</w:t>
      </w:r>
      <w:r>
        <w:rPr>
          <w:color w:val="231F20"/>
          <w:spacing w:val="-19"/>
          <w:w w:val="105"/>
          <w:sz w:val="20"/>
        </w:rPr>
        <w:t> </w:t>
      </w:r>
      <w:r>
        <w:rPr>
          <w:color w:val="231F20"/>
          <w:w w:val="105"/>
          <w:sz w:val="20"/>
        </w:rPr>
        <w:t>means</w:t>
      </w:r>
      <w:r>
        <w:rPr>
          <w:color w:val="231F20"/>
          <w:spacing w:val="-4"/>
          <w:w w:val="105"/>
          <w:sz w:val="20"/>
        </w:rPr>
        <w:t> </w:t>
      </w:r>
      <w:r>
        <w:rPr>
          <w:color w:val="231F20"/>
          <w:spacing w:val="-3"/>
          <w:w w:val="105"/>
          <w:sz w:val="20"/>
        </w:rPr>
        <w:t>any</w:t>
      </w:r>
      <w:r>
        <w:rPr>
          <w:color w:val="231F20"/>
          <w:spacing w:val="-5"/>
          <w:w w:val="105"/>
          <w:sz w:val="20"/>
        </w:rPr>
        <w:t> </w:t>
      </w:r>
      <w:r>
        <w:rPr>
          <w:color w:val="231F20"/>
          <w:w w:val="105"/>
          <w:sz w:val="20"/>
        </w:rPr>
        <w:t>rules</w:t>
      </w:r>
      <w:r>
        <w:rPr>
          <w:color w:val="231F20"/>
          <w:spacing w:val="-4"/>
          <w:w w:val="105"/>
          <w:sz w:val="20"/>
        </w:rPr>
        <w:t> </w:t>
      </w:r>
      <w:r>
        <w:rPr>
          <w:color w:val="231F20"/>
          <w:w w:val="105"/>
          <w:sz w:val="20"/>
        </w:rPr>
        <w:t>or</w:t>
      </w:r>
      <w:r>
        <w:rPr>
          <w:color w:val="231F20"/>
          <w:spacing w:val="-4"/>
          <w:w w:val="105"/>
          <w:sz w:val="20"/>
        </w:rPr>
        <w:t> </w:t>
      </w:r>
      <w:r>
        <w:rPr>
          <w:color w:val="231F20"/>
          <w:w w:val="105"/>
          <w:sz w:val="20"/>
        </w:rPr>
        <w:t>regulations</w:t>
      </w:r>
      <w:r>
        <w:rPr>
          <w:color w:val="231F20"/>
          <w:spacing w:val="-5"/>
          <w:w w:val="105"/>
          <w:sz w:val="20"/>
        </w:rPr>
        <w:t> </w:t>
      </w:r>
      <w:r>
        <w:rPr>
          <w:color w:val="231F20"/>
          <w:w w:val="105"/>
          <w:sz w:val="20"/>
        </w:rPr>
        <w:t>adopted</w:t>
      </w:r>
      <w:r>
        <w:rPr>
          <w:color w:val="231F20"/>
          <w:spacing w:val="-4"/>
          <w:w w:val="105"/>
          <w:sz w:val="20"/>
        </w:rPr>
        <w:t> </w:t>
      </w:r>
      <w:r>
        <w:rPr>
          <w:color w:val="231F20"/>
          <w:w w:val="105"/>
          <w:sz w:val="20"/>
        </w:rPr>
        <w:t>by</w:t>
      </w:r>
      <w:r>
        <w:rPr>
          <w:color w:val="231F20"/>
          <w:spacing w:val="-4"/>
          <w:w w:val="105"/>
          <w:sz w:val="20"/>
        </w:rPr>
        <w:t> </w:t>
      </w:r>
      <w:r>
        <w:rPr>
          <w:color w:val="231F20"/>
          <w:w w:val="105"/>
          <w:sz w:val="20"/>
        </w:rPr>
        <w:t>the</w:t>
      </w:r>
      <w:r>
        <w:rPr>
          <w:color w:val="231F20"/>
          <w:spacing w:val="-5"/>
          <w:w w:val="105"/>
          <w:sz w:val="20"/>
        </w:rPr>
        <w:t> </w:t>
      </w:r>
      <w:r>
        <w:rPr>
          <w:color w:val="231F20"/>
          <w:w w:val="105"/>
          <w:sz w:val="20"/>
        </w:rPr>
        <w:t>Exchange</w:t>
      </w:r>
      <w:r>
        <w:rPr>
          <w:color w:val="231F20"/>
          <w:spacing w:val="-4"/>
          <w:w w:val="105"/>
          <w:sz w:val="20"/>
        </w:rPr>
        <w:t> </w:t>
      </w:r>
      <w:r>
        <w:rPr>
          <w:color w:val="231F20"/>
          <w:w w:val="105"/>
          <w:sz w:val="20"/>
        </w:rPr>
        <w:t>pursuant</w:t>
      </w:r>
      <w:r>
        <w:rPr>
          <w:color w:val="231F20"/>
          <w:spacing w:val="-5"/>
          <w:w w:val="105"/>
          <w:sz w:val="20"/>
        </w:rPr>
        <w:t> </w:t>
      </w:r>
      <w:r>
        <w:rPr>
          <w:color w:val="231F20"/>
          <w:w w:val="105"/>
          <w:sz w:val="20"/>
        </w:rPr>
        <w:t>to</w:t>
      </w:r>
      <w:r>
        <w:rPr>
          <w:color w:val="231F20"/>
          <w:spacing w:val="-4"/>
          <w:w w:val="105"/>
          <w:sz w:val="20"/>
        </w:rPr>
        <w:t> Rule </w:t>
      </w:r>
      <w:r>
        <w:rPr>
          <w:color w:val="231F20"/>
          <w:w w:val="105"/>
          <w:sz w:val="20"/>
        </w:rPr>
        <w:t>10D-1 under the Exchange Act and </w:t>
      </w:r>
      <w:r>
        <w:rPr>
          <w:color w:val="231F20"/>
          <w:spacing w:val="-3"/>
          <w:w w:val="105"/>
          <w:sz w:val="20"/>
        </w:rPr>
        <w:t>any </w:t>
      </w:r>
      <w:r>
        <w:rPr>
          <w:color w:val="231F20"/>
          <w:w w:val="105"/>
          <w:sz w:val="20"/>
        </w:rPr>
        <w:t>applicable rules or regulations adopted by the SEC pursuant to Section 10D of the Exchange</w:t>
      </w:r>
      <w:r>
        <w:rPr>
          <w:color w:val="231F20"/>
          <w:spacing w:val="1"/>
          <w:w w:val="105"/>
          <w:sz w:val="20"/>
        </w:rPr>
        <w:t> </w:t>
      </w:r>
      <w:r>
        <w:rPr>
          <w:color w:val="231F20"/>
          <w:w w:val="105"/>
          <w:sz w:val="20"/>
        </w:rPr>
        <w:t>Act.</w:t>
      </w:r>
    </w:p>
    <w:p>
      <w:pPr>
        <w:pStyle w:val="ListParagraph"/>
        <w:numPr>
          <w:ilvl w:val="1"/>
          <w:numId w:val="12"/>
        </w:numPr>
        <w:tabs>
          <w:tab w:pos="1888" w:val="left" w:leader="none"/>
          <w:tab w:pos="1889" w:val="left" w:leader="none"/>
        </w:tabs>
        <w:spacing w:line="240" w:lineRule="auto" w:before="162" w:after="0"/>
        <w:ind w:left="1888" w:right="0" w:hanging="400"/>
        <w:jc w:val="left"/>
        <w:rPr>
          <w:sz w:val="20"/>
        </w:rPr>
      </w:pPr>
      <w:r>
        <w:rPr>
          <w:color w:val="231F20"/>
          <w:w w:val="105"/>
          <w:sz w:val="20"/>
        </w:rPr>
        <w:t>“</w:t>
      </w:r>
      <w:r>
        <w:rPr>
          <w:color w:val="231F20"/>
          <w:w w:val="105"/>
          <w:sz w:val="20"/>
          <w:u w:val="single" w:color="231F20"/>
        </w:rPr>
        <w:t>Board</w:t>
      </w:r>
      <w:r>
        <w:rPr>
          <w:color w:val="231F20"/>
          <w:w w:val="105"/>
          <w:sz w:val="20"/>
        </w:rPr>
        <w:t>” means the Board of Directors of the</w:t>
      </w:r>
      <w:r>
        <w:rPr>
          <w:color w:val="231F20"/>
          <w:spacing w:val="6"/>
          <w:w w:val="105"/>
          <w:sz w:val="20"/>
        </w:rPr>
        <w:t> </w:t>
      </w:r>
      <w:r>
        <w:rPr>
          <w:color w:val="231F20"/>
          <w:spacing w:val="-4"/>
          <w:w w:val="105"/>
          <w:sz w:val="20"/>
        </w:rPr>
        <w:t>Company.</w:t>
      </w:r>
    </w:p>
    <w:p>
      <w:pPr>
        <w:pStyle w:val="ListParagraph"/>
        <w:numPr>
          <w:ilvl w:val="1"/>
          <w:numId w:val="12"/>
        </w:numPr>
        <w:tabs>
          <w:tab w:pos="1888" w:val="left" w:leader="none"/>
          <w:tab w:pos="1889" w:val="left" w:leader="none"/>
        </w:tabs>
        <w:spacing w:line="247" w:lineRule="auto" w:before="167" w:after="0"/>
        <w:ind w:left="1888" w:right="2059" w:hanging="400"/>
        <w:jc w:val="left"/>
        <w:rPr>
          <w:sz w:val="20"/>
        </w:rPr>
      </w:pPr>
      <w:r>
        <w:rPr>
          <w:color w:val="231F20"/>
          <w:w w:val="105"/>
          <w:sz w:val="20"/>
        </w:rPr>
        <w:t>“</w:t>
      </w:r>
      <w:r>
        <w:rPr>
          <w:color w:val="231F20"/>
          <w:w w:val="105"/>
          <w:sz w:val="20"/>
          <w:u w:val="single" w:color="231F20"/>
        </w:rPr>
        <w:t>Committee</w:t>
      </w:r>
      <w:r>
        <w:rPr>
          <w:color w:val="231F20"/>
          <w:w w:val="105"/>
          <w:sz w:val="20"/>
        </w:rPr>
        <w:t>” means the Compensation Committee of the Board </w:t>
      </w:r>
      <w:r>
        <w:rPr>
          <w:color w:val="231F20"/>
          <w:spacing w:val="-7"/>
          <w:w w:val="105"/>
          <w:sz w:val="20"/>
        </w:rPr>
        <w:t>or, </w:t>
      </w:r>
      <w:r>
        <w:rPr>
          <w:color w:val="231F20"/>
          <w:w w:val="105"/>
          <w:sz w:val="20"/>
        </w:rPr>
        <w:t>in the absence of such committee, a majority of independent directors serving on the Board.</w:t>
      </w:r>
    </w:p>
    <w:p>
      <w:pPr>
        <w:pStyle w:val="ListParagraph"/>
        <w:numPr>
          <w:ilvl w:val="1"/>
          <w:numId w:val="12"/>
        </w:numPr>
        <w:tabs>
          <w:tab w:pos="1888" w:val="left" w:leader="none"/>
          <w:tab w:pos="1889" w:val="left" w:leader="none"/>
        </w:tabs>
        <w:spacing w:line="247" w:lineRule="auto" w:before="161" w:after="0"/>
        <w:ind w:left="1888" w:right="1386" w:hanging="400"/>
        <w:jc w:val="left"/>
        <w:rPr>
          <w:sz w:val="20"/>
        </w:rPr>
      </w:pPr>
      <w:r>
        <w:rPr>
          <w:color w:val="231F20"/>
          <w:w w:val="105"/>
          <w:sz w:val="20"/>
        </w:rPr>
        <w:t>A “</w:t>
      </w:r>
      <w:r>
        <w:rPr>
          <w:color w:val="231F20"/>
          <w:w w:val="105"/>
          <w:sz w:val="20"/>
          <w:u w:val="single" w:color="231F20"/>
        </w:rPr>
        <w:t>Covered Person</w:t>
      </w:r>
      <w:r>
        <w:rPr>
          <w:color w:val="231F20"/>
          <w:w w:val="105"/>
          <w:sz w:val="20"/>
        </w:rPr>
        <w:t>” means </w:t>
      </w:r>
      <w:r>
        <w:rPr>
          <w:color w:val="231F20"/>
          <w:spacing w:val="-3"/>
          <w:w w:val="105"/>
          <w:sz w:val="20"/>
        </w:rPr>
        <w:t>any </w:t>
      </w:r>
      <w:r>
        <w:rPr>
          <w:color w:val="231F20"/>
          <w:w w:val="105"/>
          <w:sz w:val="20"/>
        </w:rPr>
        <w:t>Executive Officer. A </w:t>
      </w:r>
      <w:r>
        <w:rPr>
          <w:color w:val="231F20"/>
          <w:spacing w:val="-4"/>
          <w:w w:val="105"/>
          <w:sz w:val="20"/>
        </w:rPr>
        <w:t>person’s </w:t>
      </w:r>
      <w:r>
        <w:rPr>
          <w:color w:val="231F20"/>
          <w:w w:val="105"/>
          <w:sz w:val="20"/>
        </w:rPr>
        <w:t>status as a Covered Person with respect to Erroneously </w:t>
      </w:r>
      <w:r>
        <w:rPr>
          <w:color w:val="231F20"/>
          <w:spacing w:val="-4"/>
          <w:w w:val="105"/>
          <w:sz w:val="20"/>
        </w:rPr>
        <w:t>Awarded </w:t>
      </w:r>
      <w:r>
        <w:rPr>
          <w:color w:val="231F20"/>
          <w:w w:val="105"/>
          <w:sz w:val="20"/>
        </w:rPr>
        <w:t>Compensation shall be determined as of the time of receipt of such Erroneously </w:t>
      </w:r>
      <w:r>
        <w:rPr>
          <w:color w:val="231F20"/>
          <w:spacing w:val="-4"/>
          <w:w w:val="105"/>
          <w:sz w:val="20"/>
        </w:rPr>
        <w:t>Awarded </w:t>
      </w:r>
      <w:r>
        <w:rPr>
          <w:color w:val="231F20"/>
          <w:w w:val="105"/>
          <w:sz w:val="20"/>
        </w:rPr>
        <w:t>Compensation regardless of such </w:t>
      </w:r>
      <w:r>
        <w:rPr>
          <w:color w:val="231F20"/>
          <w:spacing w:val="-4"/>
          <w:w w:val="105"/>
          <w:sz w:val="20"/>
        </w:rPr>
        <w:t>person’s </w:t>
      </w:r>
      <w:r>
        <w:rPr>
          <w:color w:val="231F20"/>
          <w:w w:val="105"/>
          <w:sz w:val="20"/>
        </w:rPr>
        <w:t>current role or status with the Company (e.g., if a person began service as an Executive Officer after the beginning of an Applicable </w:t>
      </w:r>
      <w:r>
        <w:rPr>
          <w:color w:val="231F20"/>
          <w:spacing w:val="-3"/>
          <w:w w:val="105"/>
          <w:sz w:val="20"/>
        </w:rPr>
        <w:t>Recovery </w:t>
      </w:r>
      <w:r>
        <w:rPr>
          <w:color w:val="231F20"/>
          <w:w w:val="105"/>
          <w:sz w:val="20"/>
        </w:rPr>
        <w:t>Period, that person would not be considered a Covered Person with respect</w:t>
      </w:r>
      <w:r>
        <w:rPr>
          <w:color w:val="231F20"/>
          <w:spacing w:val="-25"/>
          <w:w w:val="105"/>
          <w:sz w:val="20"/>
        </w:rPr>
        <w:t> </w:t>
      </w:r>
      <w:r>
        <w:rPr>
          <w:color w:val="231F20"/>
          <w:w w:val="105"/>
          <w:sz w:val="20"/>
        </w:rPr>
        <w:t>to Erroneously </w:t>
      </w:r>
      <w:r>
        <w:rPr>
          <w:color w:val="231F20"/>
          <w:spacing w:val="-4"/>
          <w:w w:val="105"/>
          <w:sz w:val="20"/>
        </w:rPr>
        <w:t>Awarded </w:t>
      </w:r>
      <w:r>
        <w:rPr>
          <w:color w:val="231F20"/>
          <w:w w:val="105"/>
          <w:sz w:val="20"/>
        </w:rPr>
        <w:t>Compensation received before the person began service as an Executive </w:t>
      </w:r>
      <w:r>
        <w:rPr>
          <w:color w:val="231F20"/>
          <w:spacing w:val="-3"/>
          <w:w w:val="105"/>
          <w:sz w:val="20"/>
        </w:rPr>
        <w:t>Officer, </w:t>
      </w:r>
      <w:r>
        <w:rPr>
          <w:color w:val="231F20"/>
          <w:w w:val="105"/>
          <w:sz w:val="20"/>
        </w:rPr>
        <w:t>but would be considered a Covered Person with respect to Erroneously </w:t>
      </w:r>
      <w:r>
        <w:rPr>
          <w:color w:val="231F20"/>
          <w:spacing w:val="-4"/>
          <w:w w:val="105"/>
          <w:sz w:val="20"/>
        </w:rPr>
        <w:t>Awarded </w:t>
      </w:r>
      <w:r>
        <w:rPr>
          <w:color w:val="231F20"/>
          <w:w w:val="105"/>
          <w:sz w:val="20"/>
        </w:rPr>
        <w:t>Compensation received after the person began service as an Executive Officer where such person served as an Executive Officer </w:t>
      </w:r>
      <w:r>
        <w:rPr>
          <w:color w:val="231F20"/>
          <w:spacing w:val="-3"/>
          <w:w w:val="105"/>
          <w:sz w:val="20"/>
        </w:rPr>
        <w:t>at any </w:t>
      </w:r>
      <w:r>
        <w:rPr>
          <w:color w:val="231F20"/>
          <w:w w:val="105"/>
          <w:sz w:val="20"/>
        </w:rPr>
        <w:t>time during the performance period </w:t>
      </w:r>
      <w:r>
        <w:rPr>
          <w:color w:val="231F20"/>
          <w:spacing w:val="-3"/>
          <w:w w:val="105"/>
          <w:sz w:val="20"/>
        </w:rPr>
        <w:t>for </w:t>
      </w:r>
      <w:r>
        <w:rPr>
          <w:color w:val="231F20"/>
          <w:w w:val="105"/>
          <w:sz w:val="20"/>
        </w:rPr>
        <w:t>such Erroneously </w:t>
      </w:r>
      <w:r>
        <w:rPr>
          <w:color w:val="231F20"/>
          <w:spacing w:val="-4"/>
          <w:w w:val="105"/>
          <w:sz w:val="20"/>
        </w:rPr>
        <w:t>Awarded </w:t>
      </w:r>
      <w:r>
        <w:rPr>
          <w:color w:val="231F20"/>
          <w:w w:val="105"/>
          <w:sz w:val="20"/>
        </w:rPr>
        <w:t>Compensation).</w:t>
      </w:r>
    </w:p>
    <w:p>
      <w:pPr>
        <w:pStyle w:val="ListParagraph"/>
        <w:numPr>
          <w:ilvl w:val="1"/>
          <w:numId w:val="12"/>
        </w:numPr>
        <w:tabs>
          <w:tab w:pos="1888" w:val="left" w:leader="none"/>
          <w:tab w:pos="1889" w:val="left" w:leader="none"/>
        </w:tabs>
        <w:spacing w:line="247" w:lineRule="auto" w:before="163" w:after="0"/>
        <w:ind w:left="1888" w:right="1473" w:hanging="400"/>
        <w:jc w:val="left"/>
        <w:rPr>
          <w:sz w:val="20"/>
        </w:rPr>
      </w:pPr>
      <w:r>
        <w:rPr>
          <w:color w:val="231F20"/>
          <w:w w:val="105"/>
          <w:sz w:val="20"/>
        </w:rPr>
        <w:t>“</w:t>
      </w:r>
      <w:r>
        <w:rPr>
          <w:color w:val="231F20"/>
          <w:w w:val="105"/>
          <w:sz w:val="20"/>
          <w:u w:val="single" w:color="231F20"/>
        </w:rPr>
        <w:t>Erroneously </w:t>
      </w:r>
      <w:r>
        <w:rPr>
          <w:color w:val="231F20"/>
          <w:spacing w:val="-4"/>
          <w:w w:val="105"/>
          <w:sz w:val="20"/>
          <w:u w:val="single" w:color="231F20"/>
        </w:rPr>
        <w:t>Awarded </w:t>
      </w:r>
      <w:r>
        <w:rPr>
          <w:color w:val="231F20"/>
          <w:w w:val="105"/>
          <w:sz w:val="20"/>
          <w:u w:val="single" w:color="231F20"/>
        </w:rPr>
        <w:t>Compensation</w:t>
      </w:r>
      <w:r>
        <w:rPr>
          <w:color w:val="231F20"/>
          <w:w w:val="105"/>
          <w:sz w:val="20"/>
        </w:rPr>
        <w:t>” means the amount of </w:t>
      </w:r>
      <w:r>
        <w:rPr>
          <w:color w:val="231F20"/>
          <w:spacing w:val="-3"/>
          <w:w w:val="105"/>
          <w:sz w:val="20"/>
        </w:rPr>
        <w:t>any </w:t>
      </w:r>
      <w:r>
        <w:rPr>
          <w:color w:val="231F20"/>
          <w:w w:val="105"/>
          <w:sz w:val="20"/>
        </w:rPr>
        <w:t>Incentive-Based Compensation received by a Covered Person and during the Applicable </w:t>
      </w:r>
      <w:r>
        <w:rPr>
          <w:color w:val="231F20"/>
          <w:spacing w:val="-3"/>
          <w:w w:val="105"/>
          <w:sz w:val="20"/>
        </w:rPr>
        <w:t>Recovery </w:t>
      </w:r>
      <w:r>
        <w:rPr>
          <w:color w:val="231F20"/>
          <w:w w:val="105"/>
          <w:sz w:val="20"/>
        </w:rPr>
        <w:t>Period that exceeds the amount that otherwise would </w:t>
      </w:r>
      <w:r>
        <w:rPr>
          <w:color w:val="231F20"/>
          <w:spacing w:val="-5"/>
          <w:w w:val="105"/>
          <w:sz w:val="20"/>
        </w:rPr>
        <w:t>have </w:t>
      </w:r>
      <w:r>
        <w:rPr>
          <w:color w:val="231F20"/>
          <w:w w:val="105"/>
          <w:sz w:val="20"/>
        </w:rPr>
        <w:t>been received by the Covered Person had such compensation been determined based on the restated amounts in the Material Financial Restatement, computed without regard to </w:t>
      </w:r>
      <w:r>
        <w:rPr>
          <w:color w:val="231F20"/>
          <w:spacing w:val="-3"/>
          <w:w w:val="105"/>
          <w:sz w:val="20"/>
        </w:rPr>
        <w:t>any </w:t>
      </w:r>
      <w:r>
        <w:rPr>
          <w:color w:val="231F20"/>
          <w:w w:val="105"/>
          <w:sz w:val="20"/>
        </w:rPr>
        <w:t>taxes paid. Calculation of  Erroneously </w:t>
      </w:r>
      <w:r>
        <w:rPr>
          <w:color w:val="231F20"/>
          <w:spacing w:val="-4"/>
          <w:w w:val="105"/>
          <w:sz w:val="20"/>
        </w:rPr>
        <w:t>Awarded </w:t>
      </w:r>
      <w:r>
        <w:rPr>
          <w:color w:val="231F20"/>
          <w:w w:val="105"/>
          <w:sz w:val="20"/>
        </w:rPr>
        <w:t>Compensation with respect to Incentive-Based Compensation based on share price or total shareholder return,</w:t>
      </w:r>
      <w:r>
        <w:rPr>
          <w:color w:val="231F20"/>
          <w:spacing w:val="32"/>
          <w:w w:val="105"/>
          <w:sz w:val="20"/>
        </w:rPr>
        <w:t> </w:t>
      </w:r>
      <w:r>
        <w:rPr>
          <w:color w:val="231F20"/>
          <w:w w:val="105"/>
          <w:sz w:val="20"/>
        </w:rPr>
        <w:t>where</w:t>
      </w:r>
    </w:p>
    <w:p>
      <w:pPr>
        <w:pStyle w:val="BodyText"/>
        <w:spacing w:line="247" w:lineRule="auto" w:before="4"/>
        <w:ind w:left="1888" w:right="1322"/>
      </w:pPr>
      <w:r>
        <w:rPr>
          <w:color w:val="231F20"/>
          <w:w w:val="105"/>
        </w:rPr>
        <w:t>the amount of Erroneously Awarded Compensation is not subject to mathematical recalculation directly from the information in a Material Financial Restatement, shall be based on a reasonable estimate of the effect of the Material Financial Restatement on the share price or total shareholder</w:t>
      </w:r>
    </w:p>
    <w:p>
      <w:pPr>
        <w:spacing w:after="0" w:line="247" w:lineRule="auto"/>
        <w:sectPr>
          <w:footerReference w:type="default" r:id="rId17"/>
          <w:pgSz w:w="11880" w:h="15480"/>
          <w:pgMar w:footer="0" w:header="0" w:top="940" w:bottom="280" w:left="300" w:right="0"/>
        </w:sectPr>
      </w:pPr>
    </w:p>
    <w:p>
      <w:pPr>
        <w:pStyle w:val="BodyText"/>
        <w:spacing w:line="252" w:lineRule="auto" w:before="87"/>
        <w:ind w:left="1888" w:right="1322"/>
      </w:pPr>
      <w:r>
        <w:rPr>
          <w:color w:val="231F20"/>
          <w:w w:val="105"/>
        </w:rPr>
        <w:t>return upon which the Incentive-Based Compensation was received, and the Company shall maintain documentation of the determination of such reasonable estimate and provide such documentation to the Exchange in accordance with the Applicable Rules. Incentive-Based Compensation is deemed received, earned or vested when the Financial Reporting Measure is attained, not when the actual payment, grant or vesting occurs.</w:t>
      </w:r>
    </w:p>
    <w:p>
      <w:pPr>
        <w:pStyle w:val="ListParagraph"/>
        <w:numPr>
          <w:ilvl w:val="1"/>
          <w:numId w:val="12"/>
        </w:numPr>
        <w:tabs>
          <w:tab w:pos="1888" w:val="left" w:leader="none"/>
          <w:tab w:pos="1889" w:val="left" w:leader="none"/>
        </w:tabs>
        <w:spacing w:line="240" w:lineRule="auto" w:before="160" w:after="0"/>
        <w:ind w:left="1888" w:right="0" w:hanging="400"/>
        <w:jc w:val="left"/>
        <w:rPr>
          <w:sz w:val="20"/>
        </w:rPr>
      </w:pPr>
      <w:r>
        <w:rPr>
          <w:color w:val="231F20"/>
          <w:w w:val="110"/>
          <w:sz w:val="20"/>
        </w:rPr>
        <w:t>“</w:t>
      </w:r>
      <w:r>
        <w:rPr>
          <w:color w:val="231F20"/>
          <w:w w:val="110"/>
          <w:sz w:val="20"/>
          <w:u w:val="single" w:color="231F20"/>
        </w:rPr>
        <w:t>Exchange</w:t>
      </w:r>
      <w:r>
        <w:rPr>
          <w:color w:val="231F20"/>
          <w:w w:val="110"/>
          <w:sz w:val="20"/>
        </w:rPr>
        <w:t>”</w:t>
      </w:r>
      <w:r>
        <w:rPr>
          <w:color w:val="231F20"/>
          <w:spacing w:val="-18"/>
          <w:w w:val="110"/>
          <w:sz w:val="20"/>
        </w:rPr>
        <w:t> </w:t>
      </w:r>
      <w:r>
        <w:rPr>
          <w:color w:val="231F20"/>
          <w:w w:val="110"/>
          <w:sz w:val="20"/>
        </w:rPr>
        <w:t>means</w:t>
      </w:r>
      <w:r>
        <w:rPr>
          <w:color w:val="231F20"/>
          <w:spacing w:val="-7"/>
          <w:w w:val="110"/>
          <w:sz w:val="20"/>
        </w:rPr>
        <w:t> </w:t>
      </w:r>
      <w:r>
        <w:rPr>
          <w:color w:val="231F20"/>
          <w:w w:val="110"/>
          <w:sz w:val="20"/>
        </w:rPr>
        <w:t>the</w:t>
      </w:r>
      <w:r>
        <w:rPr>
          <w:color w:val="231F20"/>
          <w:spacing w:val="-7"/>
          <w:w w:val="110"/>
          <w:sz w:val="20"/>
        </w:rPr>
        <w:t> </w:t>
      </w:r>
      <w:r>
        <w:rPr>
          <w:color w:val="231F20"/>
          <w:w w:val="110"/>
          <w:sz w:val="20"/>
        </w:rPr>
        <w:t>Nasdaq</w:t>
      </w:r>
      <w:r>
        <w:rPr>
          <w:color w:val="231F20"/>
          <w:spacing w:val="-7"/>
          <w:w w:val="110"/>
          <w:sz w:val="20"/>
        </w:rPr>
        <w:t> </w:t>
      </w:r>
      <w:r>
        <w:rPr>
          <w:color w:val="231F20"/>
          <w:w w:val="110"/>
          <w:sz w:val="20"/>
        </w:rPr>
        <w:t>Stock</w:t>
      </w:r>
      <w:r>
        <w:rPr>
          <w:color w:val="231F20"/>
          <w:spacing w:val="-6"/>
          <w:w w:val="110"/>
          <w:sz w:val="20"/>
        </w:rPr>
        <w:t> </w:t>
      </w:r>
      <w:r>
        <w:rPr>
          <w:color w:val="231F20"/>
          <w:w w:val="110"/>
          <w:sz w:val="20"/>
        </w:rPr>
        <w:t>Market</w:t>
      </w:r>
      <w:r>
        <w:rPr>
          <w:color w:val="231F20"/>
          <w:spacing w:val="-7"/>
          <w:w w:val="110"/>
          <w:sz w:val="20"/>
        </w:rPr>
        <w:t> </w:t>
      </w:r>
      <w:r>
        <w:rPr>
          <w:color w:val="231F20"/>
          <w:spacing w:val="-3"/>
          <w:w w:val="110"/>
          <w:sz w:val="20"/>
        </w:rPr>
        <w:t>LLC.</w:t>
      </w:r>
    </w:p>
    <w:p>
      <w:pPr>
        <w:pStyle w:val="ListParagraph"/>
        <w:numPr>
          <w:ilvl w:val="1"/>
          <w:numId w:val="12"/>
        </w:numPr>
        <w:tabs>
          <w:tab w:pos="1888" w:val="left" w:leader="none"/>
          <w:tab w:pos="1889" w:val="left" w:leader="none"/>
        </w:tabs>
        <w:spacing w:line="252" w:lineRule="auto" w:before="171" w:after="0"/>
        <w:ind w:left="1888" w:right="1386" w:hanging="400"/>
        <w:jc w:val="left"/>
        <w:rPr>
          <w:sz w:val="20"/>
        </w:rPr>
      </w:pPr>
      <w:r>
        <w:rPr>
          <w:color w:val="231F20"/>
          <w:w w:val="105"/>
          <w:sz w:val="20"/>
        </w:rPr>
        <w:t>An “</w:t>
      </w:r>
      <w:r>
        <w:rPr>
          <w:color w:val="231F20"/>
          <w:w w:val="105"/>
          <w:sz w:val="20"/>
          <w:u w:val="single" w:color="231F20"/>
        </w:rPr>
        <w:t>Executive Officer</w:t>
      </w:r>
      <w:r>
        <w:rPr>
          <w:color w:val="231F20"/>
          <w:w w:val="105"/>
          <w:sz w:val="20"/>
        </w:rPr>
        <w:t>” means </w:t>
      </w:r>
      <w:r>
        <w:rPr>
          <w:color w:val="231F20"/>
          <w:spacing w:val="-3"/>
          <w:w w:val="105"/>
          <w:sz w:val="20"/>
        </w:rPr>
        <w:t>any </w:t>
      </w:r>
      <w:r>
        <w:rPr>
          <w:color w:val="231F20"/>
          <w:w w:val="105"/>
          <w:sz w:val="20"/>
        </w:rPr>
        <w:t>person who served the Company in </w:t>
      </w:r>
      <w:r>
        <w:rPr>
          <w:color w:val="231F20"/>
          <w:spacing w:val="-3"/>
          <w:w w:val="105"/>
          <w:sz w:val="20"/>
        </w:rPr>
        <w:t>any </w:t>
      </w:r>
      <w:r>
        <w:rPr>
          <w:color w:val="231F20"/>
          <w:w w:val="105"/>
          <w:sz w:val="20"/>
        </w:rPr>
        <w:t>of the following roles </w:t>
      </w:r>
      <w:r>
        <w:rPr>
          <w:color w:val="231F20"/>
          <w:spacing w:val="-3"/>
          <w:w w:val="105"/>
          <w:sz w:val="20"/>
        </w:rPr>
        <w:t>at</w:t>
      </w:r>
      <w:r>
        <w:rPr>
          <w:color w:val="231F20"/>
          <w:spacing w:val="-9"/>
          <w:w w:val="105"/>
          <w:sz w:val="20"/>
        </w:rPr>
        <w:t> </w:t>
      </w:r>
      <w:r>
        <w:rPr>
          <w:color w:val="231F20"/>
          <w:spacing w:val="-3"/>
          <w:w w:val="105"/>
          <w:sz w:val="20"/>
        </w:rPr>
        <w:t>any</w:t>
      </w:r>
      <w:r>
        <w:rPr>
          <w:color w:val="231F20"/>
          <w:spacing w:val="-9"/>
          <w:w w:val="105"/>
          <w:sz w:val="20"/>
        </w:rPr>
        <w:t> </w:t>
      </w:r>
      <w:r>
        <w:rPr>
          <w:color w:val="231F20"/>
          <w:w w:val="105"/>
          <w:sz w:val="20"/>
        </w:rPr>
        <w:t>time</w:t>
      </w:r>
      <w:r>
        <w:rPr>
          <w:color w:val="231F20"/>
          <w:spacing w:val="-9"/>
          <w:w w:val="105"/>
          <w:sz w:val="20"/>
        </w:rPr>
        <w:t> </w:t>
      </w:r>
      <w:r>
        <w:rPr>
          <w:color w:val="231F20"/>
          <w:w w:val="105"/>
          <w:sz w:val="20"/>
        </w:rPr>
        <w:t>during</w:t>
      </w:r>
      <w:r>
        <w:rPr>
          <w:color w:val="231F20"/>
          <w:spacing w:val="-8"/>
          <w:w w:val="105"/>
          <w:sz w:val="20"/>
        </w:rPr>
        <w:t> </w:t>
      </w:r>
      <w:r>
        <w:rPr>
          <w:color w:val="231F20"/>
          <w:w w:val="105"/>
          <w:sz w:val="20"/>
        </w:rPr>
        <w:t>the</w:t>
      </w:r>
      <w:r>
        <w:rPr>
          <w:color w:val="231F20"/>
          <w:spacing w:val="-9"/>
          <w:w w:val="105"/>
          <w:sz w:val="20"/>
        </w:rPr>
        <w:t> </w:t>
      </w:r>
      <w:r>
        <w:rPr>
          <w:color w:val="231F20"/>
          <w:w w:val="105"/>
          <w:sz w:val="20"/>
        </w:rPr>
        <w:t>performance</w:t>
      </w:r>
      <w:r>
        <w:rPr>
          <w:color w:val="231F20"/>
          <w:spacing w:val="-9"/>
          <w:w w:val="105"/>
          <w:sz w:val="20"/>
        </w:rPr>
        <w:t> </w:t>
      </w:r>
      <w:r>
        <w:rPr>
          <w:color w:val="231F20"/>
          <w:w w:val="105"/>
          <w:sz w:val="20"/>
        </w:rPr>
        <w:t>period</w:t>
      </w:r>
      <w:r>
        <w:rPr>
          <w:color w:val="231F20"/>
          <w:spacing w:val="-8"/>
          <w:w w:val="105"/>
          <w:sz w:val="20"/>
        </w:rPr>
        <w:t> </w:t>
      </w:r>
      <w:r>
        <w:rPr>
          <w:color w:val="231F20"/>
          <w:w w:val="105"/>
          <w:sz w:val="20"/>
        </w:rPr>
        <w:t>applicable</w:t>
      </w:r>
      <w:r>
        <w:rPr>
          <w:color w:val="231F20"/>
          <w:spacing w:val="-9"/>
          <w:w w:val="105"/>
          <w:sz w:val="20"/>
        </w:rPr>
        <w:t> </w:t>
      </w:r>
      <w:r>
        <w:rPr>
          <w:color w:val="231F20"/>
          <w:w w:val="105"/>
          <w:sz w:val="20"/>
        </w:rPr>
        <w:t>to</w:t>
      </w:r>
      <w:r>
        <w:rPr>
          <w:color w:val="231F20"/>
          <w:spacing w:val="-9"/>
          <w:w w:val="105"/>
          <w:sz w:val="20"/>
        </w:rPr>
        <w:t> </w:t>
      </w:r>
      <w:r>
        <w:rPr>
          <w:color w:val="231F20"/>
          <w:w w:val="105"/>
          <w:sz w:val="20"/>
        </w:rPr>
        <w:t>Incentive-Based</w:t>
      </w:r>
      <w:r>
        <w:rPr>
          <w:color w:val="231F20"/>
          <w:spacing w:val="-8"/>
          <w:w w:val="105"/>
          <w:sz w:val="20"/>
        </w:rPr>
        <w:t> </w:t>
      </w:r>
      <w:r>
        <w:rPr>
          <w:color w:val="231F20"/>
          <w:w w:val="105"/>
          <w:sz w:val="20"/>
        </w:rPr>
        <w:t>Compensation</w:t>
      </w:r>
      <w:r>
        <w:rPr>
          <w:color w:val="231F20"/>
          <w:spacing w:val="-9"/>
          <w:w w:val="105"/>
          <w:sz w:val="20"/>
        </w:rPr>
        <w:t> </w:t>
      </w:r>
      <w:r>
        <w:rPr>
          <w:color w:val="231F20"/>
          <w:w w:val="105"/>
          <w:sz w:val="20"/>
        </w:rPr>
        <w:t>such</w:t>
      </w:r>
      <w:r>
        <w:rPr>
          <w:color w:val="231F20"/>
          <w:spacing w:val="-9"/>
          <w:w w:val="105"/>
          <w:sz w:val="20"/>
        </w:rPr>
        <w:t> </w:t>
      </w:r>
      <w:r>
        <w:rPr>
          <w:color w:val="231F20"/>
          <w:w w:val="105"/>
          <w:sz w:val="20"/>
        </w:rPr>
        <w:t>person received during service in such role: president, principal financial </w:t>
      </w:r>
      <w:r>
        <w:rPr>
          <w:color w:val="231F20"/>
          <w:spacing w:val="-3"/>
          <w:w w:val="105"/>
          <w:sz w:val="20"/>
        </w:rPr>
        <w:t>officer, </w:t>
      </w:r>
      <w:r>
        <w:rPr>
          <w:color w:val="231F20"/>
          <w:w w:val="105"/>
          <w:sz w:val="20"/>
        </w:rPr>
        <w:t>principal accounting officer (or if there is no such accounting officer the controller), </w:t>
      </w:r>
      <w:r>
        <w:rPr>
          <w:color w:val="231F20"/>
          <w:spacing w:val="-3"/>
          <w:w w:val="105"/>
          <w:sz w:val="20"/>
        </w:rPr>
        <w:t>any </w:t>
      </w:r>
      <w:r>
        <w:rPr>
          <w:color w:val="231F20"/>
          <w:w w:val="105"/>
          <w:sz w:val="20"/>
        </w:rPr>
        <w:t>vice president in charge of a principal business unit, division, or function (such as </w:t>
      </w:r>
      <w:r>
        <w:rPr>
          <w:color w:val="231F20"/>
          <w:spacing w:val="-4"/>
          <w:w w:val="105"/>
          <w:sz w:val="20"/>
        </w:rPr>
        <w:t>sales, </w:t>
      </w:r>
      <w:r>
        <w:rPr>
          <w:color w:val="231F20"/>
          <w:w w:val="105"/>
          <w:sz w:val="20"/>
        </w:rPr>
        <w:t>administration or finance), </w:t>
      </w:r>
      <w:r>
        <w:rPr>
          <w:color w:val="231F20"/>
          <w:spacing w:val="-3"/>
          <w:w w:val="105"/>
          <w:sz w:val="20"/>
        </w:rPr>
        <w:t>any </w:t>
      </w:r>
      <w:r>
        <w:rPr>
          <w:color w:val="231F20"/>
          <w:w w:val="105"/>
          <w:sz w:val="20"/>
        </w:rPr>
        <w:t>other officer who performs a policy making function, or </w:t>
      </w:r>
      <w:r>
        <w:rPr>
          <w:color w:val="231F20"/>
          <w:spacing w:val="-3"/>
          <w:w w:val="105"/>
          <w:sz w:val="20"/>
        </w:rPr>
        <w:t>any </w:t>
      </w:r>
      <w:r>
        <w:rPr>
          <w:color w:val="231F20"/>
          <w:w w:val="105"/>
          <w:sz w:val="20"/>
        </w:rPr>
        <w:t>other person who performs similar policy making functions </w:t>
      </w:r>
      <w:r>
        <w:rPr>
          <w:color w:val="231F20"/>
          <w:spacing w:val="-3"/>
          <w:w w:val="105"/>
          <w:sz w:val="20"/>
        </w:rPr>
        <w:t>for </w:t>
      </w:r>
      <w:r>
        <w:rPr>
          <w:color w:val="231F20"/>
          <w:w w:val="105"/>
          <w:sz w:val="20"/>
        </w:rPr>
        <w:t>the </w:t>
      </w:r>
      <w:r>
        <w:rPr>
          <w:color w:val="231F20"/>
          <w:spacing w:val="-4"/>
          <w:w w:val="105"/>
          <w:sz w:val="20"/>
        </w:rPr>
        <w:t>Company. </w:t>
      </w:r>
      <w:r>
        <w:rPr>
          <w:color w:val="231F20"/>
          <w:w w:val="105"/>
          <w:sz w:val="20"/>
        </w:rPr>
        <w:t>Executive officers of parents or subsidiaries of the Company </w:t>
      </w:r>
      <w:r>
        <w:rPr>
          <w:color w:val="231F20"/>
          <w:spacing w:val="-3"/>
          <w:w w:val="105"/>
          <w:sz w:val="20"/>
        </w:rPr>
        <w:t>may</w:t>
      </w:r>
      <w:r>
        <w:rPr>
          <w:color w:val="231F20"/>
          <w:spacing w:val="-10"/>
          <w:w w:val="105"/>
          <w:sz w:val="20"/>
        </w:rPr>
        <w:t> </w:t>
      </w:r>
      <w:r>
        <w:rPr>
          <w:color w:val="231F20"/>
          <w:w w:val="105"/>
          <w:sz w:val="20"/>
        </w:rPr>
        <w:t>be</w:t>
      </w:r>
      <w:r>
        <w:rPr>
          <w:color w:val="231F20"/>
          <w:spacing w:val="-10"/>
          <w:w w:val="105"/>
          <w:sz w:val="20"/>
        </w:rPr>
        <w:t> </w:t>
      </w:r>
      <w:r>
        <w:rPr>
          <w:color w:val="231F20"/>
          <w:w w:val="105"/>
          <w:sz w:val="20"/>
        </w:rPr>
        <w:t>deemed</w:t>
      </w:r>
      <w:r>
        <w:rPr>
          <w:color w:val="231F20"/>
          <w:spacing w:val="-9"/>
          <w:w w:val="105"/>
          <w:sz w:val="20"/>
        </w:rPr>
        <w:t> </w:t>
      </w:r>
      <w:r>
        <w:rPr>
          <w:color w:val="231F20"/>
          <w:w w:val="105"/>
          <w:sz w:val="20"/>
        </w:rPr>
        <w:t>executive</w:t>
      </w:r>
      <w:r>
        <w:rPr>
          <w:color w:val="231F20"/>
          <w:spacing w:val="-10"/>
          <w:w w:val="105"/>
          <w:sz w:val="20"/>
        </w:rPr>
        <w:t> </w:t>
      </w:r>
      <w:r>
        <w:rPr>
          <w:color w:val="231F20"/>
          <w:w w:val="105"/>
          <w:sz w:val="20"/>
        </w:rPr>
        <w:t>officers</w:t>
      </w:r>
      <w:r>
        <w:rPr>
          <w:color w:val="231F20"/>
          <w:spacing w:val="-10"/>
          <w:w w:val="105"/>
          <w:sz w:val="20"/>
        </w:rPr>
        <w:t> </w:t>
      </w:r>
      <w:r>
        <w:rPr>
          <w:color w:val="231F20"/>
          <w:w w:val="105"/>
          <w:sz w:val="20"/>
        </w:rPr>
        <w:t>of</w:t>
      </w:r>
      <w:r>
        <w:rPr>
          <w:color w:val="231F20"/>
          <w:spacing w:val="8"/>
          <w:w w:val="105"/>
          <w:sz w:val="20"/>
        </w:rPr>
        <w:t> </w:t>
      </w:r>
      <w:r>
        <w:rPr>
          <w:color w:val="231F20"/>
          <w:w w:val="105"/>
          <w:sz w:val="20"/>
        </w:rPr>
        <w:t>the</w:t>
      </w:r>
      <w:r>
        <w:rPr>
          <w:color w:val="231F20"/>
          <w:spacing w:val="-10"/>
          <w:w w:val="105"/>
          <w:sz w:val="20"/>
        </w:rPr>
        <w:t> </w:t>
      </w:r>
      <w:r>
        <w:rPr>
          <w:color w:val="231F20"/>
          <w:w w:val="105"/>
          <w:sz w:val="20"/>
        </w:rPr>
        <w:t>Company</w:t>
      </w:r>
      <w:r>
        <w:rPr>
          <w:color w:val="231F20"/>
          <w:spacing w:val="-9"/>
          <w:w w:val="105"/>
          <w:sz w:val="20"/>
        </w:rPr>
        <w:t> </w:t>
      </w:r>
      <w:r>
        <w:rPr>
          <w:color w:val="231F20"/>
          <w:w w:val="105"/>
          <w:sz w:val="20"/>
        </w:rPr>
        <w:t>if</w:t>
      </w:r>
      <w:r>
        <w:rPr>
          <w:color w:val="231F20"/>
          <w:spacing w:val="8"/>
          <w:w w:val="105"/>
          <w:sz w:val="20"/>
        </w:rPr>
        <w:t> </w:t>
      </w:r>
      <w:r>
        <w:rPr>
          <w:color w:val="231F20"/>
          <w:w w:val="105"/>
          <w:sz w:val="20"/>
        </w:rPr>
        <w:t>they</w:t>
      </w:r>
      <w:r>
        <w:rPr>
          <w:color w:val="231F20"/>
          <w:spacing w:val="-10"/>
          <w:w w:val="105"/>
          <w:sz w:val="20"/>
        </w:rPr>
        <w:t> </w:t>
      </w:r>
      <w:r>
        <w:rPr>
          <w:color w:val="231F20"/>
          <w:w w:val="105"/>
          <w:sz w:val="20"/>
        </w:rPr>
        <w:t>perform</w:t>
      </w:r>
      <w:r>
        <w:rPr>
          <w:color w:val="231F20"/>
          <w:spacing w:val="-10"/>
          <w:w w:val="105"/>
          <w:sz w:val="20"/>
        </w:rPr>
        <w:t> </w:t>
      </w:r>
      <w:r>
        <w:rPr>
          <w:color w:val="231F20"/>
          <w:w w:val="105"/>
          <w:sz w:val="20"/>
        </w:rPr>
        <w:t>such</w:t>
      </w:r>
      <w:r>
        <w:rPr>
          <w:color w:val="231F20"/>
          <w:spacing w:val="-9"/>
          <w:w w:val="105"/>
          <w:sz w:val="20"/>
        </w:rPr>
        <w:t> </w:t>
      </w:r>
      <w:r>
        <w:rPr>
          <w:color w:val="231F20"/>
          <w:w w:val="105"/>
          <w:sz w:val="20"/>
        </w:rPr>
        <w:t>policy</w:t>
      </w:r>
      <w:r>
        <w:rPr>
          <w:color w:val="231F20"/>
          <w:spacing w:val="-10"/>
          <w:w w:val="105"/>
          <w:sz w:val="20"/>
        </w:rPr>
        <w:t> </w:t>
      </w:r>
      <w:r>
        <w:rPr>
          <w:color w:val="231F20"/>
          <w:w w:val="105"/>
          <w:sz w:val="20"/>
        </w:rPr>
        <w:t>making</w:t>
      </w:r>
      <w:r>
        <w:rPr>
          <w:color w:val="231F20"/>
          <w:spacing w:val="-10"/>
          <w:w w:val="105"/>
          <w:sz w:val="20"/>
        </w:rPr>
        <w:t> </w:t>
      </w:r>
      <w:r>
        <w:rPr>
          <w:color w:val="231F20"/>
          <w:w w:val="105"/>
          <w:sz w:val="20"/>
        </w:rPr>
        <w:t>functions</w:t>
      </w:r>
      <w:r>
        <w:rPr>
          <w:color w:val="231F20"/>
          <w:spacing w:val="-9"/>
          <w:w w:val="105"/>
          <w:sz w:val="20"/>
        </w:rPr>
        <w:t> </w:t>
      </w:r>
      <w:r>
        <w:rPr>
          <w:color w:val="231F20"/>
          <w:spacing w:val="-7"/>
          <w:w w:val="105"/>
          <w:sz w:val="20"/>
        </w:rPr>
        <w:t>for </w:t>
      </w:r>
      <w:r>
        <w:rPr>
          <w:color w:val="231F20"/>
          <w:w w:val="105"/>
          <w:sz w:val="20"/>
        </w:rPr>
        <w:t>the</w:t>
      </w:r>
      <w:r>
        <w:rPr>
          <w:color w:val="231F20"/>
          <w:spacing w:val="-4"/>
          <w:w w:val="105"/>
          <w:sz w:val="20"/>
        </w:rPr>
        <w:t> Company.</w:t>
      </w:r>
    </w:p>
    <w:p>
      <w:pPr>
        <w:pStyle w:val="ListParagraph"/>
        <w:numPr>
          <w:ilvl w:val="1"/>
          <w:numId w:val="12"/>
        </w:numPr>
        <w:tabs>
          <w:tab w:pos="1888" w:val="left" w:leader="none"/>
          <w:tab w:pos="1889" w:val="left" w:leader="none"/>
        </w:tabs>
        <w:spacing w:line="249" w:lineRule="auto" w:before="149" w:after="0"/>
        <w:ind w:left="1888" w:right="1446" w:hanging="400"/>
        <w:jc w:val="left"/>
        <w:rPr>
          <w:sz w:val="20"/>
        </w:rPr>
      </w:pPr>
      <w:r>
        <w:rPr>
          <w:color w:val="231F20"/>
          <w:w w:val="105"/>
          <w:sz w:val="20"/>
        </w:rPr>
        <w:t>“</w:t>
      </w:r>
      <w:r>
        <w:rPr>
          <w:color w:val="231F20"/>
          <w:w w:val="105"/>
          <w:sz w:val="20"/>
          <w:u w:val="single" w:color="231F20"/>
        </w:rPr>
        <w:t>Financial Reporting Measures</w:t>
      </w:r>
      <w:r>
        <w:rPr>
          <w:color w:val="231F20"/>
          <w:w w:val="105"/>
          <w:sz w:val="20"/>
        </w:rPr>
        <w:t>” mean measures that are determined and presented in accordance with the accounting principles used in preparing the </w:t>
      </w:r>
      <w:r>
        <w:rPr>
          <w:color w:val="231F20"/>
          <w:spacing w:val="-3"/>
          <w:w w:val="105"/>
          <w:sz w:val="20"/>
        </w:rPr>
        <w:t>Company’s </w:t>
      </w:r>
      <w:r>
        <w:rPr>
          <w:color w:val="231F20"/>
          <w:w w:val="105"/>
          <w:sz w:val="20"/>
        </w:rPr>
        <w:t>financial statements, </w:t>
      </w:r>
      <w:r>
        <w:rPr>
          <w:color w:val="231F20"/>
          <w:spacing w:val="-3"/>
          <w:w w:val="105"/>
          <w:sz w:val="20"/>
        </w:rPr>
        <w:t>any </w:t>
      </w:r>
      <w:r>
        <w:rPr>
          <w:color w:val="231F20"/>
          <w:w w:val="105"/>
          <w:sz w:val="20"/>
        </w:rPr>
        <w:t>measures that are derived wholly or in part from such measures (including, </w:t>
      </w:r>
      <w:r>
        <w:rPr>
          <w:color w:val="231F20"/>
          <w:spacing w:val="-3"/>
          <w:w w:val="105"/>
          <w:sz w:val="20"/>
        </w:rPr>
        <w:t>for </w:t>
      </w:r>
      <w:r>
        <w:rPr>
          <w:color w:val="231F20"/>
          <w:w w:val="105"/>
          <w:sz w:val="20"/>
        </w:rPr>
        <w:t>example, a non- GAAP financial measure), and share price and total shareholder</w:t>
      </w:r>
      <w:r>
        <w:rPr>
          <w:color w:val="231F20"/>
          <w:spacing w:val="-15"/>
          <w:w w:val="105"/>
          <w:sz w:val="20"/>
        </w:rPr>
        <w:t> </w:t>
      </w:r>
      <w:r>
        <w:rPr>
          <w:color w:val="231F20"/>
          <w:w w:val="105"/>
          <w:sz w:val="20"/>
        </w:rPr>
        <w:t>return.</w:t>
      </w:r>
    </w:p>
    <w:p>
      <w:pPr>
        <w:pStyle w:val="ListParagraph"/>
        <w:numPr>
          <w:ilvl w:val="1"/>
          <w:numId w:val="12"/>
        </w:numPr>
        <w:tabs>
          <w:tab w:pos="1888" w:val="left" w:leader="none"/>
          <w:tab w:pos="1889" w:val="left" w:leader="none"/>
        </w:tabs>
        <w:spacing w:line="249" w:lineRule="auto" w:before="161" w:after="0"/>
        <w:ind w:left="1888" w:right="1387" w:hanging="400"/>
        <w:jc w:val="left"/>
        <w:rPr>
          <w:sz w:val="20"/>
        </w:rPr>
      </w:pPr>
      <w:r>
        <w:rPr>
          <w:color w:val="231F20"/>
          <w:w w:val="105"/>
          <w:sz w:val="20"/>
        </w:rPr>
        <w:t>“</w:t>
      </w:r>
      <w:r>
        <w:rPr>
          <w:color w:val="231F20"/>
          <w:w w:val="105"/>
          <w:sz w:val="20"/>
          <w:u w:val="single" w:color="231F20"/>
        </w:rPr>
        <w:t>Incentive-Based Compensation</w:t>
      </w:r>
      <w:r>
        <w:rPr>
          <w:color w:val="231F20"/>
          <w:w w:val="105"/>
          <w:sz w:val="20"/>
        </w:rPr>
        <w:t>” means </w:t>
      </w:r>
      <w:r>
        <w:rPr>
          <w:color w:val="231F20"/>
          <w:spacing w:val="-3"/>
          <w:w w:val="105"/>
          <w:sz w:val="20"/>
        </w:rPr>
        <w:t>any </w:t>
      </w:r>
      <w:r>
        <w:rPr>
          <w:color w:val="231F20"/>
          <w:w w:val="105"/>
          <w:sz w:val="20"/>
        </w:rPr>
        <w:t>compensation provided, directly or </w:t>
      </w:r>
      <w:r>
        <w:rPr>
          <w:color w:val="231F20"/>
          <w:spacing w:val="-3"/>
          <w:w w:val="105"/>
          <w:sz w:val="20"/>
        </w:rPr>
        <w:t>indirectly, </w:t>
      </w:r>
      <w:r>
        <w:rPr>
          <w:color w:val="231F20"/>
          <w:w w:val="105"/>
          <w:sz w:val="20"/>
        </w:rPr>
        <w:t>by the Company</w:t>
      </w:r>
      <w:r>
        <w:rPr>
          <w:color w:val="231F20"/>
          <w:spacing w:val="-8"/>
          <w:w w:val="105"/>
          <w:sz w:val="20"/>
        </w:rPr>
        <w:t> </w:t>
      </w:r>
      <w:r>
        <w:rPr>
          <w:color w:val="231F20"/>
          <w:w w:val="105"/>
          <w:sz w:val="20"/>
        </w:rPr>
        <w:t>or</w:t>
      </w:r>
      <w:r>
        <w:rPr>
          <w:color w:val="231F20"/>
          <w:spacing w:val="-7"/>
          <w:w w:val="105"/>
          <w:sz w:val="20"/>
        </w:rPr>
        <w:t> </w:t>
      </w:r>
      <w:r>
        <w:rPr>
          <w:color w:val="231F20"/>
          <w:spacing w:val="-3"/>
          <w:w w:val="105"/>
          <w:sz w:val="20"/>
        </w:rPr>
        <w:t>any</w:t>
      </w:r>
      <w:r>
        <w:rPr>
          <w:color w:val="231F20"/>
          <w:spacing w:val="-8"/>
          <w:w w:val="105"/>
          <w:sz w:val="20"/>
        </w:rPr>
        <w:t> </w:t>
      </w:r>
      <w:r>
        <w:rPr>
          <w:color w:val="231F20"/>
          <w:w w:val="105"/>
          <w:sz w:val="20"/>
        </w:rPr>
        <w:t>of</w:t>
      </w:r>
      <w:r>
        <w:rPr>
          <w:color w:val="231F20"/>
          <w:spacing w:val="14"/>
          <w:w w:val="105"/>
          <w:sz w:val="20"/>
        </w:rPr>
        <w:t> </w:t>
      </w:r>
      <w:r>
        <w:rPr>
          <w:color w:val="231F20"/>
          <w:w w:val="105"/>
          <w:sz w:val="20"/>
        </w:rPr>
        <w:t>its</w:t>
      </w:r>
      <w:r>
        <w:rPr>
          <w:color w:val="231F20"/>
          <w:spacing w:val="-7"/>
          <w:w w:val="105"/>
          <w:sz w:val="20"/>
        </w:rPr>
        <w:t> </w:t>
      </w:r>
      <w:r>
        <w:rPr>
          <w:color w:val="231F20"/>
          <w:w w:val="105"/>
          <w:sz w:val="20"/>
        </w:rPr>
        <w:t>subsidiaries</w:t>
      </w:r>
      <w:r>
        <w:rPr>
          <w:color w:val="231F20"/>
          <w:spacing w:val="-7"/>
          <w:w w:val="105"/>
          <w:sz w:val="20"/>
        </w:rPr>
        <w:t> </w:t>
      </w:r>
      <w:r>
        <w:rPr>
          <w:color w:val="231F20"/>
          <w:w w:val="105"/>
          <w:sz w:val="20"/>
        </w:rPr>
        <w:t>that</w:t>
      </w:r>
      <w:r>
        <w:rPr>
          <w:color w:val="231F20"/>
          <w:spacing w:val="-8"/>
          <w:w w:val="105"/>
          <w:sz w:val="20"/>
        </w:rPr>
        <w:t> </w:t>
      </w:r>
      <w:r>
        <w:rPr>
          <w:color w:val="231F20"/>
          <w:w w:val="105"/>
          <w:sz w:val="20"/>
        </w:rPr>
        <w:t>is</w:t>
      </w:r>
      <w:r>
        <w:rPr>
          <w:color w:val="231F20"/>
          <w:spacing w:val="-7"/>
          <w:w w:val="105"/>
          <w:sz w:val="20"/>
        </w:rPr>
        <w:t> </w:t>
      </w:r>
      <w:r>
        <w:rPr>
          <w:color w:val="231F20"/>
          <w:w w:val="105"/>
          <w:sz w:val="20"/>
        </w:rPr>
        <w:t>granted,</w:t>
      </w:r>
      <w:r>
        <w:rPr>
          <w:color w:val="231F20"/>
          <w:spacing w:val="-7"/>
          <w:w w:val="105"/>
          <w:sz w:val="20"/>
        </w:rPr>
        <w:t> </w:t>
      </w:r>
      <w:r>
        <w:rPr>
          <w:color w:val="231F20"/>
          <w:w w:val="105"/>
          <w:sz w:val="20"/>
        </w:rPr>
        <w:t>earned,</w:t>
      </w:r>
      <w:r>
        <w:rPr>
          <w:color w:val="231F20"/>
          <w:spacing w:val="-8"/>
          <w:w w:val="105"/>
          <w:sz w:val="20"/>
        </w:rPr>
        <w:t> </w:t>
      </w:r>
      <w:r>
        <w:rPr>
          <w:color w:val="231F20"/>
          <w:w w:val="105"/>
          <w:sz w:val="20"/>
        </w:rPr>
        <w:t>or</w:t>
      </w:r>
      <w:r>
        <w:rPr>
          <w:color w:val="231F20"/>
          <w:spacing w:val="-7"/>
          <w:w w:val="105"/>
          <w:sz w:val="20"/>
        </w:rPr>
        <w:t> </w:t>
      </w:r>
      <w:r>
        <w:rPr>
          <w:color w:val="231F20"/>
          <w:w w:val="105"/>
          <w:sz w:val="20"/>
        </w:rPr>
        <w:t>vested</w:t>
      </w:r>
      <w:r>
        <w:rPr>
          <w:color w:val="231F20"/>
          <w:spacing w:val="-7"/>
          <w:w w:val="105"/>
          <w:sz w:val="20"/>
        </w:rPr>
        <w:t> </w:t>
      </w:r>
      <w:r>
        <w:rPr>
          <w:color w:val="231F20"/>
          <w:w w:val="105"/>
          <w:sz w:val="20"/>
        </w:rPr>
        <w:t>based,</w:t>
      </w:r>
      <w:r>
        <w:rPr>
          <w:color w:val="231F20"/>
          <w:spacing w:val="-8"/>
          <w:w w:val="105"/>
          <w:sz w:val="20"/>
        </w:rPr>
        <w:t> </w:t>
      </w:r>
      <w:r>
        <w:rPr>
          <w:color w:val="231F20"/>
          <w:w w:val="105"/>
          <w:sz w:val="20"/>
        </w:rPr>
        <w:t>in</w:t>
      </w:r>
      <w:r>
        <w:rPr>
          <w:color w:val="231F20"/>
          <w:spacing w:val="-7"/>
          <w:w w:val="105"/>
          <w:sz w:val="20"/>
        </w:rPr>
        <w:t> </w:t>
      </w:r>
      <w:r>
        <w:rPr>
          <w:color w:val="231F20"/>
          <w:w w:val="105"/>
          <w:sz w:val="20"/>
        </w:rPr>
        <w:t>whole</w:t>
      </w:r>
      <w:r>
        <w:rPr>
          <w:color w:val="231F20"/>
          <w:spacing w:val="-8"/>
          <w:w w:val="105"/>
          <w:sz w:val="20"/>
        </w:rPr>
        <w:t> </w:t>
      </w:r>
      <w:r>
        <w:rPr>
          <w:color w:val="231F20"/>
          <w:w w:val="105"/>
          <w:sz w:val="20"/>
        </w:rPr>
        <w:t>or</w:t>
      </w:r>
      <w:r>
        <w:rPr>
          <w:color w:val="231F20"/>
          <w:spacing w:val="-7"/>
          <w:w w:val="105"/>
          <w:sz w:val="20"/>
        </w:rPr>
        <w:t> </w:t>
      </w:r>
      <w:r>
        <w:rPr>
          <w:color w:val="231F20"/>
          <w:w w:val="105"/>
          <w:sz w:val="20"/>
        </w:rPr>
        <w:t>in</w:t>
      </w:r>
      <w:r>
        <w:rPr>
          <w:color w:val="231F20"/>
          <w:spacing w:val="-7"/>
          <w:w w:val="105"/>
          <w:sz w:val="20"/>
        </w:rPr>
        <w:t> </w:t>
      </w:r>
      <w:r>
        <w:rPr>
          <w:color w:val="231F20"/>
          <w:w w:val="105"/>
          <w:sz w:val="20"/>
        </w:rPr>
        <w:t>part,</w:t>
      </w:r>
      <w:r>
        <w:rPr>
          <w:color w:val="231F20"/>
          <w:spacing w:val="-8"/>
          <w:w w:val="105"/>
          <w:sz w:val="20"/>
        </w:rPr>
        <w:t> </w:t>
      </w:r>
      <w:r>
        <w:rPr>
          <w:color w:val="231F20"/>
          <w:w w:val="105"/>
          <w:sz w:val="20"/>
        </w:rPr>
        <w:t>upon the attainment of a Financial Reporting Measure and </w:t>
      </w:r>
      <w:r>
        <w:rPr>
          <w:color w:val="231F20"/>
          <w:spacing w:val="-3"/>
          <w:w w:val="105"/>
          <w:sz w:val="20"/>
        </w:rPr>
        <w:t>any </w:t>
      </w:r>
      <w:r>
        <w:rPr>
          <w:color w:val="231F20"/>
          <w:w w:val="105"/>
          <w:sz w:val="20"/>
        </w:rPr>
        <w:t>equity-based compensation</w:t>
      </w:r>
      <w:r>
        <w:rPr>
          <w:color w:val="231F20"/>
          <w:spacing w:val="18"/>
          <w:w w:val="105"/>
          <w:sz w:val="20"/>
        </w:rPr>
        <w:t> </w:t>
      </w:r>
      <w:r>
        <w:rPr>
          <w:color w:val="231F20"/>
          <w:w w:val="105"/>
          <w:sz w:val="20"/>
        </w:rPr>
        <w:t>provided</w:t>
      </w:r>
    </w:p>
    <w:p>
      <w:pPr>
        <w:pStyle w:val="BodyText"/>
        <w:spacing w:line="249" w:lineRule="auto" w:before="1"/>
        <w:ind w:left="1888" w:right="1322"/>
      </w:pPr>
      <w:r>
        <w:rPr>
          <w:color w:val="231F20"/>
          <w:w w:val="105"/>
        </w:rPr>
        <w:t>by the Company or any of its subsidiaries, including, without limitation, stock options, restricted stock awards, restricted stock units and stock appreciation rights.</w:t>
      </w:r>
    </w:p>
    <w:p>
      <w:pPr>
        <w:pStyle w:val="ListParagraph"/>
        <w:numPr>
          <w:ilvl w:val="1"/>
          <w:numId w:val="12"/>
        </w:numPr>
        <w:tabs>
          <w:tab w:pos="1888" w:val="left" w:leader="none"/>
          <w:tab w:pos="1889" w:val="left" w:leader="none"/>
        </w:tabs>
        <w:spacing w:line="249" w:lineRule="auto" w:before="160" w:after="0"/>
        <w:ind w:left="1888" w:right="1406" w:hanging="400"/>
        <w:jc w:val="left"/>
        <w:rPr>
          <w:sz w:val="20"/>
        </w:rPr>
      </w:pPr>
      <w:r>
        <w:rPr>
          <w:color w:val="231F20"/>
          <w:w w:val="105"/>
          <w:sz w:val="20"/>
        </w:rPr>
        <w:t>A “</w:t>
      </w:r>
      <w:r>
        <w:rPr>
          <w:color w:val="231F20"/>
          <w:w w:val="105"/>
          <w:sz w:val="20"/>
          <w:u w:val="single" w:color="231F20"/>
        </w:rPr>
        <w:t>Material Financial Restatement</w:t>
      </w:r>
      <w:r>
        <w:rPr>
          <w:color w:val="231F20"/>
          <w:w w:val="105"/>
          <w:sz w:val="20"/>
        </w:rPr>
        <w:t>” means a restatement of previously issued financial statements of the Company due to the material noncompliance of the Company with </w:t>
      </w:r>
      <w:r>
        <w:rPr>
          <w:color w:val="231F20"/>
          <w:spacing w:val="-3"/>
          <w:w w:val="105"/>
          <w:sz w:val="20"/>
        </w:rPr>
        <w:t>any </w:t>
      </w:r>
      <w:r>
        <w:rPr>
          <w:color w:val="231F20"/>
          <w:w w:val="105"/>
          <w:sz w:val="20"/>
        </w:rPr>
        <w:t>financial reporting requirement under the securities </w:t>
      </w:r>
      <w:r>
        <w:rPr>
          <w:color w:val="231F20"/>
          <w:spacing w:val="-5"/>
          <w:w w:val="105"/>
          <w:sz w:val="20"/>
        </w:rPr>
        <w:t>laws, </w:t>
      </w:r>
      <w:r>
        <w:rPr>
          <w:color w:val="231F20"/>
          <w:w w:val="105"/>
          <w:sz w:val="20"/>
        </w:rPr>
        <w:t>including </w:t>
      </w:r>
      <w:r>
        <w:rPr>
          <w:color w:val="231F20"/>
          <w:spacing w:val="-3"/>
          <w:w w:val="105"/>
          <w:sz w:val="20"/>
        </w:rPr>
        <w:t>any </w:t>
      </w:r>
      <w:r>
        <w:rPr>
          <w:color w:val="231F20"/>
          <w:w w:val="105"/>
          <w:sz w:val="20"/>
        </w:rPr>
        <w:t>required restatement to correct an error in previously-issued</w:t>
      </w:r>
      <w:r>
        <w:rPr>
          <w:color w:val="231F20"/>
          <w:spacing w:val="-13"/>
          <w:w w:val="105"/>
          <w:sz w:val="20"/>
        </w:rPr>
        <w:t> </w:t>
      </w:r>
      <w:r>
        <w:rPr>
          <w:color w:val="231F20"/>
          <w:w w:val="105"/>
          <w:sz w:val="20"/>
        </w:rPr>
        <w:t>financial</w:t>
      </w:r>
      <w:r>
        <w:rPr>
          <w:color w:val="231F20"/>
          <w:spacing w:val="-12"/>
          <w:w w:val="105"/>
          <w:sz w:val="20"/>
        </w:rPr>
        <w:t> </w:t>
      </w:r>
      <w:r>
        <w:rPr>
          <w:color w:val="231F20"/>
          <w:w w:val="105"/>
          <w:sz w:val="20"/>
        </w:rPr>
        <w:t>statements</w:t>
      </w:r>
      <w:r>
        <w:rPr>
          <w:color w:val="231F20"/>
          <w:spacing w:val="-12"/>
          <w:w w:val="105"/>
          <w:sz w:val="20"/>
        </w:rPr>
        <w:t> </w:t>
      </w:r>
      <w:r>
        <w:rPr>
          <w:color w:val="231F20"/>
          <w:w w:val="105"/>
          <w:sz w:val="20"/>
        </w:rPr>
        <w:t>that</w:t>
      </w:r>
      <w:r>
        <w:rPr>
          <w:color w:val="231F20"/>
          <w:spacing w:val="-12"/>
          <w:w w:val="105"/>
          <w:sz w:val="20"/>
        </w:rPr>
        <w:t> </w:t>
      </w:r>
      <w:r>
        <w:rPr>
          <w:color w:val="231F20"/>
          <w:w w:val="105"/>
          <w:sz w:val="20"/>
        </w:rPr>
        <w:t>is</w:t>
      </w:r>
      <w:r>
        <w:rPr>
          <w:color w:val="231F20"/>
          <w:spacing w:val="-12"/>
          <w:w w:val="105"/>
          <w:sz w:val="20"/>
        </w:rPr>
        <w:t> </w:t>
      </w:r>
      <w:r>
        <w:rPr>
          <w:color w:val="231F20"/>
          <w:w w:val="105"/>
          <w:sz w:val="20"/>
        </w:rPr>
        <w:t>material</w:t>
      </w:r>
      <w:r>
        <w:rPr>
          <w:color w:val="231F20"/>
          <w:spacing w:val="-12"/>
          <w:w w:val="105"/>
          <w:sz w:val="20"/>
        </w:rPr>
        <w:t> </w:t>
      </w:r>
      <w:r>
        <w:rPr>
          <w:color w:val="231F20"/>
          <w:w w:val="105"/>
          <w:sz w:val="20"/>
        </w:rPr>
        <w:t>to</w:t>
      </w:r>
      <w:r>
        <w:rPr>
          <w:color w:val="231F20"/>
          <w:spacing w:val="-12"/>
          <w:w w:val="105"/>
          <w:sz w:val="20"/>
        </w:rPr>
        <w:t> </w:t>
      </w:r>
      <w:r>
        <w:rPr>
          <w:color w:val="231F20"/>
          <w:w w:val="105"/>
          <w:sz w:val="20"/>
        </w:rPr>
        <w:t>the</w:t>
      </w:r>
      <w:r>
        <w:rPr>
          <w:color w:val="231F20"/>
          <w:spacing w:val="-12"/>
          <w:w w:val="105"/>
          <w:sz w:val="20"/>
        </w:rPr>
        <w:t> </w:t>
      </w:r>
      <w:r>
        <w:rPr>
          <w:color w:val="231F20"/>
          <w:w w:val="105"/>
          <w:sz w:val="20"/>
        </w:rPr>
        <w:t>previously-issued</w:t>
      </w:r>
      <w:r>
        <w:rPr>
          <w:color w:val="231F20"/>
          <w:spacing w:val="-12"/>
          <w:w w:val="105"/>
          <w:sz w:val="20"/>
        </w:rPr>
        <w:t> </w:t>
      </w:r>
      <w:r>
        <w:rPr>
          <w:color w:val="231F20"/>
          <w:w w:val="105"/>
          <w:sz w:val="20"/>
        </w:rPr>
        <w:t>financial</w:t>
      </w:r>
      <w:r>
        <w:rPr>
          <w:color w:val="231F20"/>
          <w:spacing w:val="-12"/>
          <w:w w:val="105"/>
          <w:sz w:val="20"/>
        </w:rPr>
        <w:t> </w:t>
      </w:r>
      <w:r>
        <w:rPr>
          <w:color w:val="231F20"/>
          <w:w w:val="105"/>
          <w:sz w:val="20"/>
        </w:rPr>
        <w:t>statements or that would result in a material misstatement if the error were corrected in the current period or left uncorrected in the current</w:t>
      </w:r>
      <w:r>
        <w:rPr>
          <w:color w:val="231F20"/>
          <w:spacing w:val="-16"/>
          <w:w w:val="105"/>
          <w:sz w:val="20"/>
        </w:rPr>
        <w:t> </w:t>
      </w:r>
      <w:r>
        <w:rPr>
          <w:color w:val="231F20"/>
          <w:w w:val="105"/>
          <w:sz w:val="20"/>
        </w:rPr>
        <w:t>period.</w:t>
      </w:r>
    </w:p>
    <w:p>
      <w:pPr>
        <w:pStyle w:val="ListParagraph"/>
        <w:numPr>
          <w:ilvl w:val="1"/>
          <w:numId w:val="12"/>
        </w:numPr>
        <w:tabs>
          <w:tab w:pos="1888" w:val="left" w:leader="none"/>
          <w:tab w:pos="1889" w:val="left" w:leader="none"/>
        </w:tabs>
        <w:spacing w:line="249" w:lineRule="auto" w:before="162" w:after="0"/>
        <w:ind w:left="1888" w:right="1386" w:hanging="400"/>
        <w:jc w:val="left"/>
        <w:rPr>
          <w:sz w:val="20"/>
        </w:rPr>
      </w:pPr>
      <w:r>
        <w:rPr>
          <w:color w:val="231F20"/>
          <w:w w:val="110"/>
          <w:sz w:val="20"/>
        </w:rPr>
        <w:t>“</w:t>
      </w:r>
      <w:r>
        <w:rPr>
          <w:color w:val="231F20"/>
          <w:w w:val="110"/>
          <w:sz w:val="20"/>
          <w:u w:val="single" w:color="231F20"/>
        </w:rPr>
        <w:t>Restatement</w:t>
      </w:r>
      <w:r>
        <w:rPr>
          <w:color w:val="231F20"/>
          <w:spacing w:val="-22"/>
          <w:w w:val="110"/>
          <w:sz w:val="20"/>
          <w:u w:val="single" w:color="231F20"/>
        </w:rPr>
        <w:t> </w:t>
      </w:r>
      <w:r>
        <w:rPr>
          <w:color w:val="231F20"/>
          <w:w w:val="110"/>
          <w:sz w:val="20"/>
          <w:u w:val="single" w:color="231F20"/>
        </w:rPr>
        <w:t>Date</w:t>
      </w:r>
      <w:r>
        <w:rPr>
          <w:color w:val="231F20"/>
          <w:w w:val="110"/>
          <w:sz w:val="20"/>
        </w:rPr>
        <w:t>”</w:t>
      </w:r>
      <w:r>
        <w:rPr>
          <w:color w:val="231F20"/>
          <w:spacing w:val="-30"/>
          <w:w w:val="110"/>
          <w:sz w:val="20"/>
        </w:rPr>
        <w:t> </w:t>
      </w:r>
      <w:r>
        <w:rPr>
          <w:color w:val="231F20"/>
          <w:w w:val="110"/>
          <w:sz w:val="20"/>
        </w:rPr>
        <w:t>means,</w:t>
      </w:r>
      <w:r>
        <w:rPr>
          <w:color w:val="231F20"/>
          <w:spacing w:val="-22"/>
          <w:w w:val="110"/>
          <w:sz w:val="20"/>
        </w:rPr>
        <w:t> </w:t>
      </w:r>
      <w:r>
        <w:rPr>
          <w:color w:val="231F20"/>
          <w:w w:val="110"/>
          <w:sz w:val="20"/>
        </w:rPr>
        <w:t>with</w:t>
      </w:r>
      <w:r>
        <w:rPr>
          <w:color w:val="231F20"/>
          <w:spacing w:val="-22"/>
          <w:w w:val="110"/>
          <w:sz w:val="20"/>
        </w:rPr>
        <w:t> </w:t>
      </w:r>
      <w:r>
        <w:rPr>
          <w:color w:val="231F20"/>
          <w:w w:val="110"/>
          <w:sz w:val="20"/>
        </w:rPr>
        <w:t>respect</w:t>
      </w:r>
      <w:r>
        <w:rPr>
          <w:color w:val="231F20"/>
          <w:spacing w:val="-21"/>
          <w:w w:val="110"/>
          <w:sz w:val="20"/>
        </w:rPr>
        <w:t> </w:t>
      </w:r>
      <w:r>
        <w:rPr>
          <w:color w:val="231F20"/>
          <w:w w:val="110"/>
          <w:sz w:val="20"/>
        </w:rPr>
        <w:t>to</w:t>
      </w:r>
      <w:r>
        <w:rPr>
          <w:color w:val="231F20"/>
          <w:spacing w:val="-22"/>
          <w:w w:val="110"/>
          <w:sz w:val="20"/>
        </w:rPr>
        <w:t> </w:t>
      </w:r>
      <w:r>
        <w:rPr>
          <w:color w:val="231F20"/>
          <w:w w:val="110"/>
          <w:sz w:val="20"/>
        </w:rPr>
        <w:t>a</w:t>
      </w:r>
      <w:r>
        <w:rPr>
          <w:color w:val="231F20"/>
          <w:spacing w:val="-22"/>
          <w:w w:val="110"/>
          <w:sz w:val="20"/>
        </w:rPr>
        <w:t> </w:t>
      </w:r>
      <w:r>
        <w:rPr>
          <w:color w:val="231F20"/>
          <w:w w:val="110"/>
          <w:sz w:val="20"/>
        </w:rPr>
        <w:t>Material</w:t>
      </w:r>
      <w:r>
        <w:rPr>
          <w:color w:val="231F20"/>
          <w:spacing w:val="-22"/>
          <w:w w:val="110"/>
          <w:sz w:val="20"/>
        </w:rPr>
        <w:t> </w:t>
      </w:r>
      <w:r>
        <w:rPr>
          <w:color w:val="231F20"/>
          <w:w w:val="110"/>
          <w:sz w:val="20"/>
        </w:rPr>
        <w:t>Financial</w:t>
      </w:r>
      <w:r>
        <w:rPr>
          <w:color w:val="231F20"/>
          <w:spacing w:val="-22"/>
          <w:w w:val="110"/>
          <w:sz w:val="20"/>
        </w:rPr>
        <w:t> </w:t>
      </w:r>
      <w:r>
        <w:rPr>
          <w:color w:val="231F20"/>
          <w:w w:val="110"/>
          <w:sz w:val="20"/>
        </w:rPr>
        <w:t>Restatement,</w:t>
      </w:r>
      <w:r>
        <w:rPr>
          <w:color w:val="231F20"/>
          <w:spacing w:val="-22"/>
          <w:w w:val="110"/>
          <w:sz w:val="20"/>
        </w:rPr>
        <w:t> </w:t>
      </w:r>
      <w:r>
        <w:rPr>
          <w:color w:val="231F20"/>
          <w:w w:val="110"/>
          <w:sz w:val="20"/>
        </w:rPr>
        <w:t>the</w:t>
      </w:r>
      <w:r>
        <w:rPr>
          <w:color w:val="231F20"/>
          <w:spacing w:val="-22"/>
          <w:w w:val="110"/>
          <w:sz w:val="20"/>
        </w:rPr>
        <w:t> </w:t>
      </w:r>
      <w:r>
        <w:rPr>
          <w:color w:val="231F20"/>
          <w:w w:val="110"/>
          <w:sz w:val="20"/>
        </w:rPr>
        <w:t>earlier</w:t>
      </w:r>
      <w:r>
        <w:rPr>
          <w:color w:val="231F20"/>
          <w:spacing w:val="-22"/>
          <w:w w:val="110"/>
          <w:sz w:val="20"/>
        </w:rPr>
        <w:t> </w:t>
      </w:r>
      <w:r>
        <w:rPr>
          <w:color w:val="231F20"/>
          <w:w w:val="110"/>
          <w:sz w:val="20"/>
        </w:rPr>
        <w:t>to</w:t>
      </w:r>
      <w:r>
        <w:rPr>
          <w:color w:val="231F20"/>
          <w:spacing w:val="-22"/>
          <w:w w:val="110"/>
          <w:sz w:val="20"/>
        </w:rPr>
        <w:t> </w:t>
      </w:r>
      <w:r>
        <w:rPr>
          <w:color w:val="231F20"/>
          <w:w w:val="110"/>
          <w:sz w:val="20"/>
        </w:rPr>
        <w:t>occur of:</w:t>
      </w:r>
      <w:r>
        <w:rPr>
          <w:color w:val="231F20"/>
          <w:spacing w:val="-30"/>
          <w:w w:val="110"/>
          <w:sz w:val="20"/>
        </w:rPr>
        <w:t> </w:t>
      </w:r>
      <w:r>
        <w:rPr>
          <w:color w:val="231F20"/>
          <w:w w:val="110"/>
          <w:sz w:val="20"/>
        </w:rPr>
        <w:t>(i)</w:t>
      </w:r>
      <w:r>
        <w:rPr>
          <w:color w:val="231F20"/>
          <w:spacing w:val="-29"/>
          <w:w w:val="110"/>
          <w:sz w:val="20"/>
        </w:rPr>
        <w:t> </w:t>
      </w:r>
      <w:r>
        <w:rPr>
          <w:color w:val="231F20"/>
          <w:w w:val="110"/>
          <w:sz w:val="20"/>
        </w:rPr>
        <w:t>the</w:t>
      </w:r>
      <w:r>
        <w:rPr>
          <w:color w:val="231F20"/>
          <w:spacing w:val="-30"/>
          <w:w w:val="110"/>
          <w:sz w:val="20"/>
        </w:rPr>
        <w:t> </w:t>
      </w:r>
      <w:r>
        <w:rPr>
          <w:color w:val="231F20"/>
          <w:w w:val="110"/>
          <w:sz w:val="20"/>
        </w:rPr>
        <w:t>date</w:t>
      </w:r>
      <w:r>
        <w:rPr>
          <w:color w:val="231F20"/>
          <w:spacing w:val="-29"/>
          <w:w w:val="110"/>
          <w:sz w:val="20"/>
        </w:rPr>
        <w:t> </w:t>
      </w:r>
      <w:r>
        <w:rPr>
          <w:color w:val="231F20"/>
          <w:w w:val="110"/>
          <w:sz w:val="20"/>
        </w:rPr>
        <w:t>the</w:t>
      </w:r>
      <w:r>
        <w:rPr>
          <w:color w:val="231F20"/>
          <w:spacing w:val="-30"/>
          <w:w w:val="110"/>
          <w:sz w:val="20"/>
        </w:rPr>
        <w:t> </w:t>
      </w:r>
      <w:r>
        <w:rPr>
          <w:color w:val="231F20"/>
          <w:w w:val="110"/>
          <w:sz w:val="20"/>
        </w:rPr>
        <w:t>Board</w:t>
      </w:r>
      <w:r>
        <w:rPr>
          <w:color w:val="231F20"/>
          <w:spacing w:val="-29"/>
          <w:w w:val="110"/>
          <w:sz w:val="20"/>
        </w:rPr>
        <w:t> </w:t>
      </w:r>
      <w:r>
        <w:rPr>
          <w:color w:val="231F20"/>
          <w:w w:val="110"/>
          <w:sz w:val="20"/>
        </w:rPr>
        <w:t>or</w:t>
      </w:r>
      <w:r>
        <w:rPr>
          <w:color w:val="231F20"/>
          <w:spacing w:val="-29"/>
          <w:w w:val="110"/>
          <w:sz w:val="20"/>
        </w:rPr>
        <w:t> </w:t>
      </w:r>
      <w:r>
        <w:rPr>
          <w:color w:val="231F20"/>
          <w:w w:val="110"/>
          <w:sz w:val="20"/>
        </w:rPr>
        <w:t>the</w:t>
      </w:r>
      <w:r>
        <w:rPr>
          <w:color w:val="231F20"/>
          <w:spacing w:val="-30"/>
          <w:w w:val="110"/>
          <w:sz w:val="20"/>
        </w:rPr>
        <w:t> </w:t>
      </w:r>
      <w:r>
        <w:rPr>
          <w:color w:val="231F20"/>
          <w:spacing w:val="-3"/>
          <w:w w:val="110"/>
          <w:sz w:val="20"/>
        </w:rPr>
        <w:t>Audit</w:t>
      </w:r>
      <w:r>
        <w:rPr>
          <w:color w:val="231F20"/>
          <w:spacing w:val="-29"/>
          <w:w w:val="110"/>
          <w:sz w:val="20"/>
        </w:rPr>
        <w:t> </w:t>
      </w:r>
      <w:r>
        <w:rPr>
          <w:color w:val="231F20"/>
          <w:w w:val="110"/>
          <w:sz w:val="20"/>
        </w:rPr>
        <w:t>Committee</w:t>
      </w:r>
      <w:r>
        <w:rPr>
          <w:color w:val="231F20"/>
          <w:spacing w:val="-30"/>
          <w:w w:val="110"/>
          <w:sz w:val="20"/>
        </w:rPr>
        <w:t> </w:t>
      </w:r>
      <w:r>
        <w:rPr>
          <w:color w:val="231F20"/>
          <w:w w:val="110"/>
          <w:sz w:val="20"/>
        </w:rPr>
        <w:t>of</w:t>
      </w:r>
      <w:r>
        <w:rPr>
          <w:color w:val="231F20"/>
          <w:spacing w:val="-18"/>
          <w:w w:val="110"/>
          <w:sz w:val="20"/>
        </w:rPr>
        <w:t> </w:t>
      </w:r>
      <w:r>
        <w:rPr>
          <w:color w:val="231F20"/>
          <w:w w:val="110"/>
          <w:sz w:val="20"/>
        </w:rPr>
        <w:t>the</w:t>
      </w:r>
      <w:r>
        <w:rPr>
          <w:color w:val="231F20"/>
          <w:spacing w:val="-29"/>
          <w:w w:val="110"/>
          <w:sz w:val="20"/>
        </w:rPr>
        <w:t> </w:t>
      </w:r>
      <w:r>
        <w:rPr>
          <w:color w:val="231F20"/>
          <w:w w:val="110"/>
          <w:sz w:val="20"/>
        </w:rPr>
        <w:t>Board</w:t>
      </w:r>
      <w:r>
        <w:rPr>
          <w:color w:val="231F20"/>
          <w:spacing w:val="-29"/>
          <w:w w:val="110"/>
          <w:sz w:val="20"/>
        </w:rPr>
        <w:t> </w:t>
      </w:r>
      <w:r>
        <w:rPr>
          <w:color w:val="231F20"/>
          <w:w w:val="110"/>
          <w:sz w:val="20"/>
        </w:rPr>
        <w:t>concludes,</w:t>
      </w:r>
      <w:r>
        <w:rPr>
          <w:color w:val="231F20"/>
          <w:spacing w:val="-30"/>
          <w:w w:val="110"/>
          <w:sz w:val="20"/>
        </w:rPr>
        <w:t> </w:t>
      </w:r>
      <w:r>
        <w:rPr>
          <w:color w:val="231F20"/>
          <w:w w:val="110"/>
          <w:sz w:val="20"/>
        </w:rPr>
        <w:t>or</w:t>
      </w:r>
      <w:r>
        <w:rPr>
          <w:color w:val="231F20"/>
          <w:spacing w:val="-29"/>
          <w:w w:val="110"/>
          <w:sz w:val="20"/>
        </w:rPr>
        <w:t> </w:t>
      </w:r>
      <w:r>
        <w:rPr>
          <w:color w:val="231F20"/>
          <w:w w:val="110"/>
          <w:sz w:val="20"/>
        </w:rPr>
        <w:t>reasonably</w:t>
      </w:r>
      <w:r>
        <w:rPr>
          <w:color w:val="231F20"/>
          <w:spacing w:val="-30"/>
          <w:w w:val="110"/>
          <w:sz w:val="20"/>
        </w:rPr>
        <w:t> </w:t>
      </w:r>
      <w:r>
        <w:rPr>
          <w:color w:val="231F20"/>
          <w:w w:val="110"/>
          <w:sz w:val="20"/>
        </w:rPr>
        <w:t>should</w:t>
      </w:r>
      <w:r>
        <w:rPr>
          <w:color w:val="231F20"/>
          <w:spacing w:val="-29"/>
          <w:w w:val="110"/>
          <w:sz w:val="20"/>
        </w:rPr>
        <w:t> </w:t>
      </w:r>
      <w:r>
        <w:rPr>
          <w:color w:val="231F20"/>
          <w:spacing w:val="-5"/>
          <w:w w:val="110"/>
          <w:sz w:val="20"/>
        </w:rPr>
        <w:t>have </w:t>
      </w:r>
      <w:r>
        <w:rPr>
          <w:color w:val="231F20"/>
          <w:w w:val="110"/>
          <w:sz w:val="20"/>
        </w:rPr>
        <w:t>concluded,</w:t>
      </w:r>
      <w:r>
        <w:rPr>
          <w:color w:val="231F20"/>
          <w:spacing w:val="-14"/>
          <w:w w:val="110"/>
          <w:sz w:val="20"/>
        </w:rPr>
        <w:t> </w:t>
      </w:r>
      <w:r>
        <w:rPr>
          <w:color w:val="231F20"/>
          <w:w w:val="110"/>
          <w:sz w:val="20"/>
        </w:rPr>
        <w:t>that</w:t>
      </w:r>
      <w:r>
        <w:rPr>
          <w:color w:val="231F20"/>
          <w:spacing w:val="-14"/>
          <w:w w:val="110"/>
          <w:sz w:val="20"/>
        </w:rPr>
        <w:t> </w:t>
      </w:r>
      <w:r>
        <w:rPr>
          <w:color w:val="231F20"/>
          <w:w w:val="110"/>
          <w:sz w:val="20"/>
        </w:rPr>
        <w:t>the</w:t>
      </w:r>
      <w:r>
        <w:rPr>
          <w:color w:val="231F20"/>
          <w:spacing w:val="-14"/>
          <w:w w:val="110"/>
          <w:sz w:val="20"/>
        </w:rPr>
        <w:t> </w:t>
      </w:r>
      <w:r>
        <w:rPr>
          <w:color w:val="231F20"/>
          <w:w w:val="110"/>
          <w:sz w:val="20"/>
        </w:rPr>
        <w:t>Company</w:t>
      </w:r>
      <w:r>
        <w:rPr>
          <w:color w:val="231F20"/>
          <w:spacing w:val="-14"/>
          <w:w w:val="110"/>
          <w:sz w:val="20"/>
        </w:rPr>
        <w:t> </w:t>
      </w:r>
      <w:r>
        <w:rPr>
          <w:color w:val="231F20"/>
          <w:w w:val="110"/>
          <w:sz w:val="20"/>
        </w:rPr>
        <w:t>is</w:t>
      </w:r>
      <w:r>
        <w:rPr>
          <w:color w:val="231F20"/>
          <w:spacing w:val="-13"/>
          <w:w w:val="110"/>
          <w:sz w:val="20"/>
        </w:rPr>
        <w:t> </w:t>
      </w:r>
      <w:r>
        <w:rPr>
          <w:color w:val="231F20"/>
          <w:w w:val="110"/>
          <w:sz w:val="20"/>
        </w:rPr>
        <w:t>required</w:t>
      </w:r>
      <w:r>
        <w:rPr>
          <w:color w:val="231F20"/>
          <w:spacing w:val="-14"/>
          <w:w w:val="110"/>
          <w:sz w:val="20"/>
        </w:rPr>
        <w:t> </w:t>
      </w:r>
      <w:r>
        <w:rPr>
          <w:color w:val="231F20"/>
          <w:w w:val="110"/>
          <w:sz w:val="20"/>
        </w:rPr>
        <w:t>to</w:t>
      </w:r>
      <w:r>
        <w:rPr>
          <w:color w:val="231F20"/>
          <w:spacing w:val="-14"/>
          <w:w w:val="110"/>
          <w:sz w:val="20"/>
        </w:rPr>
        <w:t> </w:t>
      </w:r>
      <w:r>
        <w:rPr>
          <w:color w:val="231F20"/>
          <w:w w:val="110"/>
          <w:sz w:val="20"/>
        </w:rPr>
        <w:t>prepare</w:t>
      </w:r>
      <w:r>
        <w:rPr>
          <w:color w:val="231F20"/>
          <w:spacing w:val="-14"/>
          <w:w w:val="110"/>
          <w:sz w:val="20"/>
        </w:rPr>
        <w:t> </w:t>
      </w:r>
      <w:r>
        <w:rPr>
          <w:color w:val="231F20"/>
          <w:w w:val="110"/>
          <w:sz w:val="20"/>
        </w:rPr>
        <w:t>the</w:t>
      </w:r>
      <w:r>
        <w:rPr>
          <w:color w:val="231F20"/>
          <w:spacing w:val="-13"/>
          <w:w w:val="110"/>
          <w:sz w:val="20"/>
        </w:rPr>
        <w:t> </w:t>
      </w:r>
      <w:r>
        <w:rPr>
          <w:color w:val="231F20"/>
          <w:w w:val="110"/>
          <w:sz w:val="20"/>
        </w:rPr>
        <w:t>Material</w:t>
      </w:r>
      <w:r>
        <w:rPr>
          <w:color w:val="231F20"/>
          <w:spacing w:val="-14"/>
          <w:w w:val="110"/>
          <w:sz w:val="20"/>
        </w:rPr>
        <w:t> </w:t>
      </w:r>
      <w:r>
        <w:rPr>
          <w:color w:val="231F20"/>
          <w:w w:val="110"/>
          <w:sz w:val="20"/>
        </w:rPr>
        <w:t>Financial</w:t>
      </w:r>
      <w:r>
        <w:rPr>
          <w:color w:val="231F20"/>
          <w:spacing w:val="-14"/>
          <w:w w:val="110"/>
          <w:sz w:val="20"/>
        </w:rPr>
        <w:t> </w:t>
      </w:r>
      <w:r>
        <w:rPr>
          <w:color w:val="231F20"/>
          <w:w w:val="110"/>
          <w:sz w:val="20"/>
        </w:rPr>
        <w:t>Restatement</w:t>
      </w:r>
      <w:r>
        <w:rPr>
          <w:color w:val="231F20"/>
          <w:spacing w:val="-14"/>
          <w:w w:val="110"/>
          <w:sz w:val="20"/>
        </w:rPr>
        <w:t> </w:t>
      </w:r>
      <w:r>
        <w:rPr>
          <w:color w:val="231F20"/>
          <w:w w:val="110"/>
          <w:sz w:val="20"/>
        </w:rPr>
        <w:t>or</w:t>
      </w:r>
    </w:p>
    <w:p>
      <w:pPr>
        <w:pStyle w:val="BodyText"/>
        <w:spacing w:line="249" w:lineRule="auto" w:before="1"/>
        <w:ind w:left="1888" w:right="1396"/>
      </w:pPr>
      <w:r>
        <w:rPr>
          <w:color w:val="231F20"/>
          <w:w w:val="110"/>
        </w:rPr>
        <w:t>(ii)</w:t>
      </w:r>
      <w:r>
        <w:rPr>
          <w:color w:val="231F20"/>
          <w:spacing w:val="-20"/>
          <w:w w:val="110"/>
        </w:rPr>
        <w:t> </w:t>
      </w:r>
      <w:r>
        <w:rPr>
          <w:color w:val="231F20"/>
          <w:w w:val="110"/>
        </w:rPr>
        <w:t>the</w:t>
      </w:r>
      <w:r>
        <w:rPr>
          <w:color w:val="231F20"/>
          <w:spacing w:val="-20"/>
          <w:w w:val="110"/>
        </w:rPr>
        <w:t> </w:t>
      </w:r>
      <w:r>
        <w:rPr>
          <w:color w:val="231F20"/>
          <w:w w:val="110"/>
        </w:rPr>
        <w:t>date</w:t>
      </w:r>
      <w:r>
        <w:rPr>
          <w:color w:val="231F20"/>
          <w:spacing w:val="-20"/>
          <w:w w:val="110"/>
        </w:rPr>
        <w:t> </w:t>
      </w:r>
      <w:r>
        <w:rPr>
          <w:color w:val="231F20"/>
          <w:w w:val="110"/>
        </w:rPr>
        <w:t>a</w:t>
      </w:r>
      <w:r>
        <w:rPr>
          <w:color w:val="231F20"/>
          <w:spacing w:val="-20"/>
          <w:w w:val="110"/>
        </w:rPr>
        <w:t> </w:t>
      </w:r>
      <w:r>
        <w:rPr>
          <w:color w:val="231F20"/>
          <w:w w:val="110"/>
        </w:rPr>
        <w:t>court,</w:t>
      </w:r>
      <w:r>
        <w:rPr>
          <w:color w:val="231F20"/>
          <w:spacing w:val="-20"/>
          <w:w w:val="110"/>
        </w:rPr>
        <w:t> </w:t>
      </w:r>
      <w:r>
        <w:rPr>
          <w:color w:val="231F20"/>
          <w:w w:val="110"/>
        </w:rPr>
        <w:t>regulator</w:t>
      </w:r>
      <w:r>
        <w:rPr>
          <w:color w:val="231F20"/>
          <w:spacing w:val="-20"/>
          <w:w w:val="110"/>
        </w:rPr>
        <w:t> </w:t>
      </w:r>
      <w:r>
        <w:rPr>
          <w:color w:val="231F20"/>
          <w:w w:val="110"/>
        </w:rPr>
        <w:t>or</w:t>
      </w:r>
      <w:r>
        <w:rPr>
          <w:color w:val="231F20"/>
          <w:spacing w:val="-20"/>
          <w:w w:val="110"/>
        </w:rPr>
        <w:t> </w:t>
      </w:r>
      <w:r>
        <w:rPr>
          <w:color w:val="231F20"/>
          <w:w w:val="110"/>
        </w:rPr>
        <w:t>other</w:t>
      </w:r>
      <w:r>
        <w:rPr>
          <w:color w:val="231F20"/>
          <w:spacing w:val="-20"/>
          <w:w w:val="110"/>
        </w:rPr>
        <w:t> </w:t>
      </w:r>
      <w:r>
        <w:rPr>
          <w:color w:val="231F20"/>
          <w:w w:val="110"/>
        </w:rPr>
        <w:t>legally</w:t>
      </w:r>
      <w:r>
        <w:rPr>
          <w:color w:val="231F20"/>
          <w:spacing w:val="-20"/>
          <w:w w:val="110"/>
        </w:rPr>
        <w:t> </w:t>
      </w:r>
      <w:r>
        <w:rPr>
          <w:color w:val="231F20"/>
          <w:w w:val="110"/>
        </w:rPr>
        <w:t>authorized</w:t>
      </w:r>
      <w:r>
        <w:rPr>
          <w:color w:val="231F20"/>
          <w:spacing w:val="-20"/>
          <w:w w:val="110"/>
        </w:rPr>
        <w:t> </w:t>
      </w:r>
      <w:r>
        <w:rPr>
          <w:color w:val="231F20"/>
          <w:w w:val="110"/>
        </w:rPr>
        <w:t>body</w:t>
      </w:r>
      <w:r>
        <w:rPr>
          <w:color w:val="231F20"/>
          <w:spacing w:val="-20"/>
          <w:w w:val="110"/>
        </w:rPr>
        <w:t> </w:t>
      </w:r>
      <w:r>
        <w:rPr>
          <w:color w:val="231F20"/>
          <w:w w:val="110"/>
        </w:rPr>
        <w:t>directs</w:t>
      </w:r>
      <w:r>
        <w:rPr>
          <w:color w:val="231F20"/>
          <w:spacing w:val="-20"/>
          <w:w w:val="110"/>
        </w:rPr>
        <w:t> </w:t>
      </w:r>
      <w:r>
        <w:rPr>
          <w:color w:val="231F20"/>
          <w:w w:val="110"/>
        </w:rPr>
        <w:t>the</w:t>
      </w:r>
      <w:r>
        <w:rPr>
          <w:color w:val="231F20"/>
          <w:spacing w:val="-20"/>
          <w:w w:val="110"/>
        </w:rPr>
        <w:t> </w:t>
      </w:r>
      <w:r>
        <w:rPr>
          <w:color w:val="231F20"/>
          <w:w w:val="110"/>
        </w:rPr>
        <w:t>Company</w:t>
      </w:r>
      <w:r>
        <w:rPr>
          <w:color w:val="231F20"/>
          <w:spacing w:val="-20"/>
          <w:w w:val="110"/>
        </w:rPr>
        <w:t> </w:t>
      </w:r>
      <w:r>
        <w:rPr>
          <w:color w:val="231F20"/>
          <w:w w:val="110"/>
        </w:rPr>
        <w:t>to</w:t>
      </w:r>
      <w:r>
        <w:rPr>
          <w:color w:val="231F20"/>
          <w:spacing w:val="-20"/>
          <w:w w:val="110"/>
        </w:rPr>
        <w:t> </w:t>
      </w:r>
      <w:r>
        <w:rPr>
          <w:color w:val="231F20"/>
          <w:w w:val="110"/>
        </w:rPr>
        <w:t>prepare</w:t>
      </w:r>
      <w:r>
        <w:rPr>
          <w:color w:val="231F20"/>
          <w:spacing w:val="-20"/>
          <w:w w:val="110"/>
        </w:rPr>
        <w:t> </w:t>
      </w:r>
      <w:r>
        <w:rPr>
          <w:color w:val="231F20"/>
          <w:w w:val="110"/>
        </w:rPr>
        <w:t>the Material Financial</w:t>
      </w:r>
      <w:r>
        <w:rPr>
          <w:color w:val="231F20"/>
          <w:spacing w:val="-14"/>
          <w:w w:val="110"/>
        </w:rPr>
        <w:t> </w:t>
      </w:r>
      <w:r>
        <w:rPr>
          <w:color w:val="231F20"/>
          <w:w w:val="110"/>
        </w:rPr>
        <w:t>Restatement.</w:t>
      </w:r>
    </w:p>
    <w:p>
      <w:pPr>
        <w:pStyle w:val="BodyText"/>
        <w:spacing w:before="10"/>
      </w:pPr>
    </w:p>
    <w:p>
      <w:pPr>
        <w:pStyle w:val="Heading2"/>
        <w:numPr>
          <w:ilvl w:val="0"/>
          <w:numId w:val="12"/>
        </w:numPr>
        <w:tabs>
          <w:tab w:pos="1444" w:val="left" w:leader="none"/>
        </w:tabs>
        <w:spacing w:line="240" w:lineRule="auto" w:before="0" w:after="0"/>
        <w:ind w:left="1443" w:right="0" w:hanging="354"/>
        <w:jc w:val="left"/>
      </w:pPr>
      <w:r>
        <w:rPr>
          <w:color w:val="231F20"/>
        </w:rPr>
        <w:t>Exception to Compensation </w:t>
      </w:r>
      <w:r>
        <w:rPr>
          <w:color w:val="231F20"/>
          <w:spacing w:val="-3"/>
        </w:rPr>
        <w:t>Recovery</w:t>
      </w:r>
      <w:r>
        <w:rPr>
          <w:color w:val="231F20"/>
          <w:spacing w:val="-10"/>
        </w:rPr>
        <w:t> </w:t>
      </w:r>
      <w:r>
        <w:rPr>
          <w:color w:val="231F20"/>
        </w:rPr>
        <w:t>Requirement</w:t>
      </w:r>
    </w:p>
    <w:p>
      <w:pPr>
        <w:pStyle w:val="BodyText"/>
        <w:spacing w:line="249" w:lineRule="auto" w:before="169"/>
        <w:ind w:left="1090" w:right="1386" w:firstLine="399"/>
      </w:pPr>
      <w:r>
        <w:rPr>
          <w:color w:val="231F20"/>
          <w:w w:val="105"/>
        </w:rPr>
        <w:t>The Company </w:t>
      </w:r>
      <w:r>
        <w:rPr>
          <w:color w:val="231F20"/>
          <w:spacing w:val="-3"/>
          <w:w w:val="105"/>
        </w:rPr>
        <w:t>may </w:t>
      </w:r>
      <w:r>
        <w:rPr>
          <w:color w:val="231F20"/>
          <w:w w:val="105"/>
        </w:rPr>
        <w:t>elect not to recover Erroneously </w:t>
      </w:r>
      <w:r>
        <w:rPr>
          <w:color w:val="231F20"/>
          <w:spacing w:val="-4"/>
          <w:w w:val="105"/>
        </w:rPr>
        <w:t>Awarded </w:t>
      </w:r>
      <w:r>
        <w:rPr>
          <w:color w:val="231F20"/>
          <w:w w:val="105"/>
        </w:rPr>
        <w:t>Compensation pursuant to this Policy if the</w:t>
      </w:r>
      <w:r>
        <w:rPr>
          <w:color w:val="231F20"/>
          <w:spacing w:val="-13"/>
          <w:w w:val="105"/>
        </w:rPr>
        <w:t> </w:t>
      </w:r>
      <w:r>
        <w:rPr>
          <w:color w:val="231F20"/>
          <w:w w:val="105"/>
        </w:rPr>
        <w:t>Committee</w:t>
      </w:r>
      <w:r>
        <w:rPr>
          <w:color w:val="231F20"/>
          <w:spacing w:val="-13"/>
          <w:w w:val="105"/>
        </w:rPr>
        <w:t> </w:t>
      </w:r>
      <w:r>
        <w:rPr>
          <w:color w:val="231F20"/>
          <w:w w:val="105"/>
        </w:rPr>
        <w:t>determines</w:t>
      </w:r>
      <w:r>
        <w:rPr>
          <w:color w:val="231F20"/>
          <w:spacing w:val="-13"/>
          <w:w w:val="105"/>
        </w:rPr>
        <w:t> </w:t>
      </w:r>
      <w:r>
        <w:rPr>
          <w:color w:val="231F20"/>
          <w:w w:val="105"/>
        </w:rPr>
        <w:t>that</w:t>
      </w:r>
      <w:r>
        <w:rPr>
          <w:color w:val="231F20"/>
          <w:spacing w:val="-12"/>
          <w:w w:val="105"/>
        </w:rPr>
        <w:t> </w:t>
      </w:r>
      <w:r>
        <w:rPr>
          <w:color w:val="231F20"/>
          <w:w w:val="105"/>
        </w:rPr>
        <w:t>recovery</w:t>
      </w:r>
      <w:r>
        <w:rPr>
          <w:color w:val="231F20"/>
          <w:spacing w:val="-13"/>
          <w:w w:val="105"/>
        </w:rPr>
        <w:t> </w:t>
      </w:r>
      <w:r>
        <w:rPr>
          <w:color w:val="231F20"/>
          <w:w w:val="105"/>
        </w:rPr>
        <w:t>would</w:t>
      </w:r>
      <w:r>
        <w:rPr>
          <w:color w:val="231F20"/>
          <w:spacing w:val="-13"/>
          <w:w w:val="105"/>
        </w:rPr>
        <w:t> </w:t>
      </w:r>
      <w:r>
        <w:rPr>
          <w:color w:val="231F20"/>
          <w:w w:val="105"/>
        </w:rPr>
        <w:t>be</w:t>
      </w:r>
      <w:r>
        <w:rPr>
          <w:color w:val="231F20"/>
          <w:spacing w:val="-12"/>
          <w:w w:val="105"/>
        </w:rPr>
        <w:t> </w:t>
      </w:r>
      <w:r>
        <w:rPr>
          <w:color w:val="231F20"/>
          <w:w w:val="105"/>
        </w:rPr>
        <w:t>impracticable,</w:t>
      </w:r>
      <w:r>
        <w:rPr>
          <w:color w:val="231F20"/>
          <w:spacing w:val="-13"/>
          <w:w w:val="105"/>
        </w:rPr>
        <w:t> </w:t>
      </w:r>
      <w:r>
        <w:rPr>
          <w:color w:val="231F20"/>
          <w:w w:val="105"/>
        </w:rPr>
        <w:t>and</w:t>
      </w:r>
      <w:r>
        <w:rPr>
          <w:color w:val="231F20"/>
          <w:spacing w:val="-13"/>
          <w:w w:val="105"/>
        </w:rPr>
        <w:t> </w:t>
      </w:r>
      <w:r>
        <w:rPr>
          <w:color w:val="231F20"/>
          <w:w w:val="105"/>
        </w:rPr>
        <w:t>one</w:t>
      </w:r>
      <w:r>
        <w:rPr>
          <w:color w:val="231F20"/>
          <w:spacing w:val="-12"/>
          <w:w w:val="105"/>
        </w:rPr>
        <w:t> </w:t>
      </w:r>
      <w:r>
        <w:rPr>
          <w:color w:val="231F20"/>
          <w:w w:val="105"/>
        </w:rPr>
        <w:t>or</w:t>
      </w:r>
      <w:r>
        <w:rPr>
          <w:color w:val="231F20"/>
          <w:spacing w:val="-13"/>
          <w:w w:val="105"/>
        </w:rPr>
        <w:t> </w:t>
      </w:r>
      <w:r>
        <w:rPr>
          <w:color w:val="231F20"/>
          <w:w w:val="105"/>
        </w:rPr>
        <w:t>more</w:t>
      </w:r>
      <w:r>
        <w:rPr>
          <w:color w:val="231F20"/>
          <w:spacing w:val="-13"/>
          <w:w w:val="105"/>
        </w:rPr>
        <w:t> </w:t>
      </w:r>
      <w:r>
        <w:rPr>
          <w:color w:val="231F20"/>
          <w:w w:val="105"/>
        </w:rPr>
        <w:t>of</w:t>
      </w:r>
      <w:r>
        <w:rPr>
          <w:color w:val="231F20"/>
          <w:spacing w:val="7"/>
          <w:w w:val="105"/>
        </w:rPr>
        <w:t> </w:t>
      </w:r>
      <w:r>
        <w:rPr>
          <w:color w:val="231F20"/>
          <w:w w:val="105"/>
        </w:rPr>
        <w:t>the</w:t>
      </w:r>
      <w:r>
        <w:rPr>
          <w:color w:val="231F20"/>
          <w:spacing w:val="-12"/>
          <w:w w:val="105"/>
        </w:rPr>
        <w:t> </w:t>
      </w:r>
      <w:r>
        <w:rPr>
          <w:color w:val="231F20"/>
          <w:w w:val="105"/>
        </w:rPr>
        <w:t>following</w:t>
      </w:r>
      <w:r>
        <w:rPr>
          <w:color w:val="231F20"/>
          <w:spacing w:val="-13"/>
          <w:w w:val="105"/>
        </w:rPr>
        <w:t> </w:t>
      </w:r>
      <w:r>
        <w:rPr>
          <w:color w:val="231F20"/>
          <w:w w:val="105"/>
        </w:rPr>
        <w:t>conditions, together with </w:t>
      </w:r>
      <w:r>
        <w:rPr>
          <w:color w:val="231F20"/>
          <w:spacing w:val="-3"/>
          <w:w w:val="105"/>
        </w:rPr>
        <w:t>any </w:t>
      </w:r>
      <w:r>
        <w:rPr>
          <w:color w:val="231F20"/>
          <w:w w:val="105"/>
        </w:rPr>
        <w:t>further requirements set forth in the Applicable </w:t>
      </w:r>
      <w:r>
        <w:rPr>
          <w:color w:val="231F20"/>
          <w:spacing w:val="-5"/>
          <w:w w:val="105"/>
        </w:rPr>
        <w:t>Rules, </w:t>
      </w:r>
      <w:r>
        <w:rPr>
          <w:color w:val="231F20"/>
          <w:w w:val="105"/>
        </w:rPr>
        <w:t>are met: (i) the direct</w:t>
      </w:r>
      <w:r>
        <w:rPr>
          <w:color w:val="231F20"/>
          <w:spacing w:val="-23"/>
          <w:w w:val="105"/>
        </w:rPr>
        <w:t> </w:t>
      </w:r>
      <w:r>
        <w:rPr>
          <w:color w:val="231F20"/>
          <w:w w:val="105"/>
        </w:rPr>
        <w:t>expense</w:t>
      </w:r>
    </w:p>
    <w:p>
      <w:pPr>
        <w:pStyle w:val="BodyText"/>
        <w:spacing w:line="249" w:lineRule="auto" w:before="1"/>
        <w:ind w:left="1090" w:right="1382"/>
      </w:pPr>
      <w:r>
        <w:rPr>
          <w:color w:val="231F20"/>
          <w:w w:val="105"/>
        </w:rPr>
        <w:t>paid to a third </w:t>
      </w:r>
      <w:r>
        <w:rPr>
          <w:color w:val="231F20"/>
          <w:spacing w:val="-3"/>
          <w:w w:val="105"/>
        </w:rPr>
        <w:t>party, </w:t>
      </w:r>
      <w:r>
        <w:rPr>
          <w:color w:val="231F20"/>
          <w:w w:val="105"/>
        </w:rPr>
        <w:t>including outside legal counsel, to assist in enforcing this Policy would exceed the amount to be recovered, and the Company has made a reasonable attempt to recover such Erroneously </w:t>
      </w:r>
      <w:r>
        <w:rPr>
          <w:color w:val="231F20"/>
          <w:spacing w:val="-4"/>
          <w:w w:val="105"/>
        </w:rPr>
        <w:t>Awarded </w:t>
      </w:r>
      <w:r>
        <w:rPr>
          <w:color w:val="231F20"/>
          <w:w w:val="105"/>
        </w:rPr>
        <w:t>Compensation; (ii) recovery would cause the Company to violate a </w:t>
      </w:r>
      <w:r>
        <w:rPr>
          <w:color w:val="231F20"/>
          <w:spacing w:val="-5"/>
          <w:w w:val="105"/>
        </w:rPr>
        <w:t>law </w:t>
      </w:r>
      <w:r>
        <w:rPr>
          <w:color w:val="231F20"/>
          <w:w w:val="105"/>
        </w:rPr>
        <w:t>of Israel that was adopted prior to November 28, 2022, and the Company obtains an opinion of Israeli counsel that recovery would result in a violation of such country’s </w:t>
      </w:r>
      <w:r>
        <w:rPr>
          <w:color w:val="231F20"/>
          <w:spacing w:val="-5"/>
          <w:w w:val="105"/>
        </w:rPr>
        <w:t>law </w:t>
      </w:r>
      <w:r>
        <w:rPr>
          <w:color w:val="231F20"/>
          <w:w w:val="105"/>
        </w:rPr>
        <w:t>and provides the opinion to the Exchange; or (iii) recovery would </w:t>
      </w:r>
      <w:r>
        <w:rPr>
          <w:color w:val="231F20"/>
          <w:spacing w:val="-3"/>
          <w:w w:val="105"/>
        </w:rPr>
        <w:t>likely </w:t>
      </w:r>
      <w:r>
        <w:rPr>
          <w:color w:val="231F20"/>
          <w:w w:val="105"/>
        </w:rPr>
        <w:t>cause an otherwise tax-qualified retirement plan to fail to be so qualified under applicable regulations.</w:t>
      </w:r>
    </w:p>
    <w:p>
      <w:pPr>
        <w:pStyle w:val="BodyText"/>
        <w:spacing w:before="11"/>
      </w:pPr>
    </w:p>
    <w:p>
      <w:pPr>
        <w:pStyle w:val="Heading2"/>
        <w:numPr>
          <w:ilvl w:val="0"/>
          <w:numId w:val="12"/>
        </w:numPr>
        <w:tabs>
          <w:tab w:pos="1444" w:val="left" w:leader="none"/>
        </w:tabs>
        <w:spacing w:line="240" w:lineRule="auto" w:before="0" w:after="0"/>
        <w:ind w:left="1443" w:right="0" w:hanging="354"/>
        <w:jc w:val="left"/>
      </w:pPr>
      <w:r>
        <w:rPr>
          <w:color w:val="231F20"/>
          <w:spacing w:val="-4"/>
        </w:rPr>
        <w:t>Tax</w:t>
      </w:r>
      <w:r>
        <w:rPr>
          <w:color w:val="231F20"/>
          <w:spacing w:val="-2"/>
        </w:rPr>
        <w:t> </w:t>
      </w:r>
      <w:r>
        <w:rPr>
          <w:color w:val="231F20"/>
        </w:rPr>
        <w:t>Considerations</w:t>
      </w:r>
    </w:p>
    <w:p>
      <w:pPr>
        <w:pStyle w:val="BodyText"/>
        <w:spacing w:line="249" w:lineRule="auto" w:before="169"/>
        <w:ind w:left="1090" w:right="1619" w:firstLine="399"/>
      </w:pPr>
      <w:r>
        <w:rPr>
          <w:color w:val="231F20"/>
          <w:spacing w:val="-11"/>
          <w:w w:val="110"/>
        </w:rPr>
        <w:t>To </w:t>
      </w:r>
      <w:r>
        <w:rPr>
          <w:color w:val="231F20"/>
          <w:w w:val="110"/>
        </w:rPr>
        <w:t>the extent that, pursuant to this </w:t>
      </w:r>
      <w:r>
        <w:rPr>
          <w:color w:val="231F20"/>
          <w:spacing w:val="-4"/>
          <w:w w:val="110"/>
        </w:rPr>
        <w:t>Policy, </w:t>
      </w:r>
      <w:r>
        <w:rPr>
          <w:color w:val="231F20"/>
          <w:w w:val="110"/>
        </w:rPr>
        <w:t>the Company is entitled to recover </w:t>
      </w:r>
      <w:r>
        <w:rPr>
          <w:color w:val="231F20"/>
          <w:spacing w:val="-3"/>
          <w:w w:val="110"/>
        </w:rPr>
        <w:t>any </w:t>
      </w:r>
      <w:r>
        <w:rPr>
          <w:color w:val="231F20"/>
          <w:w w:val="110"/>
        </w:rPr>
        <w:t>Erroneously </w:t>
      </w:r>
      <w:r>
        <w:rPr>
          <w:color w:val="231F20"/>
          <w:spacing w:val="-4"/>
          <w:w w:val="110"/>
        </w:rPr>
        <w:t>Awarded</w:t>
      </w:r>
      <w:r>
        <w:rPr>
          <w:color w:val="231F20"/>
          <w:spacing w:val="-29"/>
          <w:w w:val="110"/>
        </w:rPr>
        <w:t> </w:t>
      </w:r>
      <w:r>
        <w:rPr>
          <w:color w:val="231F20"/>
          <w:w w:val="110"/>
        </w:rPr>
        <w:t>Compensation</w:t>
      </w:r>
      <w:r>
        <w:rPr>
          <w:color w:val="231F20"/>
          <w:spacing w:val="-28"/>
          <w:w w:val="110"/>
        </w:rPr>
        <w:t> </w:t>
      </w:r>
      <w:r>
        <w:rPr>
          <w:color w:val="231F20"/>
          <w:w w:val="110"/>
        </w:rPr>
        <w:t>that</w:t>
      </w:r>
      <w:r>
        <w:rPr>
          <w:color w:val="231F20"/>
          <w:spacing w:val="-29"/>
          <w:w w:val="110"/>
        </w:rPr>
        <w:t> </w:t>
      </w:r>
      <w:r>
        <w:rPr>
          <w:color w:val="231F20"/>
          <w:w w:val="110"/>
        </w:rPr>
        <w:t>is</w:t>
      </w:r>
      <w:r>
        <w:rPr>
          <w:color w:val="231F20"/>
          <w:spacing w:val="-28"/>
          <w:w w:val="110"/>
        </w:rPr>
        <w:t> </w:t>
      </w:r>
      <w:r>
        <w:rPr>
          <w:color w:val="231F20"/>
          <w:w w:val="110"/>
        </w:rPr>
        <w:t>received</w:t>
      </w:r>
      <w:r>
        <w:rPr>
          <w:color w:val="231F20"/>
          <w:spacing w:val="-28"/>
          <w:w w:val="110"/>
        </w:rPr>
        <w:t> </w:t>
      </w:r>
      <w:r>
        <w:rPr>
          <w:color w:val="231F20"/>
          <w:w w:val="110"/>
        </w:rPr>
        <w:t>by</w:t>
      </w:r>
      <w:r>
        <w:rPr>
          <w:color w:val="231F20"/>
          <w:spacing w:val="-29"/>
          <w:w w:val="110"/>
        </w:rPr>
        <w:t> </w:t>
      </w:r>
      <w:r>
        <w:rPr>
          <w:color w:val="231F20"/>
          <w:w w:val="110"/>
        </w:rPr>
        <w:t>a</w:t>
      </w:r>
      <w:r>
        <w:rPr>
          <w:color w:val="231F20"/>
          <w:spacing w:val="-28"/>
          <w:w w:val="110"/>
        </w:rPr>
        <w:t> </w:t>
      </w:r>
      <w:r>
        <w:rPr>
          <w:color w:val="231F20"/>
          <w:w w:val="110"/>
        </w:rPr>
        <w:t>Covered</w:t>
      </w:r>
      <w:r>
        <w:rPr>
          <w:color w:val="231F20"/>
          <w:spacing w:val="-29"/>
          <w:w w:val="110"/>
        </w:rPr>
        <w:t> </w:t>
      </w:r>
      <w:r>
        <w:rPr>
          <w:color w:val="231F20"/>
          <w:w w:val="110"/>
        </w:rPr>
        <w:t>Person,</w:t>
      </w:r>
      <w:r>
        <w:rPr>
          <w:color w:val="231F20"/>
          <w:spacing w:val="-28"/>
          <w:w w:val="110"/>
        </w:rPr>
        <w:t> </w:t>
      </w:r>
      <w:r>
        <w:rPr>
          <w:color w:val="231F20"/>
          <w:w w:val="110"/>
        </w:rPr>
        <w:t>the</w:t>
      </w:r>
      <w:r>
        <w:rPr>
          <w:color w:val="231F20"/>
          <w:spacing w:val="-28"/>
          <w:w w:val="110"/>
        </w:rPr>
        <w:t> </w:t>
      </w:r>
      <w:r>
        <w:rPr>
          <w:color w:val="231F20"/>
          <w:w w:val="110"/>
        </w:rPr>
        <w:t>gross</w:t>
      </w:r>
      <w:r>
        <w:rPr>
          <w:color w:val="231F20"/>
          <w:spacing w:val="-29"/>
          <w:w w:val="110"/>
        </w:rPr>
        <w:t> </w:t>
      </w:r>
      <w:r>
        <w:rPr>
          <w:color w:val="231F20"/>
          <w:w w:val="110"/>
        </w:rPr>
        <w:t>amount</w:t>
      </w:r>
      <w:r>
        <w:rPr>
          <w:color w:val="231F20"/>
          <w:spacing w:val="-28"/>
          <w:w w:val="110"/>
        </w:rPr>
        <w:t> </w:t>
      </w:r>
      <w:r>
        <w:rPr>
          <w:color w:val="231F20"/>
          <w:w w:val="110"/>
        </w:rPr>
        <w:t>received</w:t>
      </w:r>
      <w:r>
        <w:rPr>
          <w:color w:val="231F20"/>
          <w:spacing w:val="-29"/>
          <w:w w:val="110"/>
        </w:rPr>
        <w:t> </w:t>
      </w:r>
      <w:r>
        <w:rPr>
          <w:color w:val="231F20"/>
          <w:w w:val="110"/>
        </w:rPr>
        <w:t>(i.e.,</w:t>
      </w:r>
      <w:r>
        <w:rPr>
          <w:color w:val="231F20"/>
          <w:spacing w:val="-28"/>
          <w:w w:val="110"/>
        </w:rPr>
        <w:t> </w:t>
      </w:r>
      <w:r>
        <w:rPr>
          <w:color w:val="231F20"/>
          <w:w w:val="110"/>
        </w:rPr>
        <w:t>the</w:t>
      </w:r>
      <w:r>
        <w:rPr>
          <w:color w:val="231F20"/>
          <w:spacing w:val="-28"/>
          <w:w w:val="110"/>
        </w:rPr>
        <w:t> </w:t>
      </w:r>
      <w:r>
        <w:rPr>
          <w:color w:val="231F20"/>
          <w:w w:val="110"/>
        </w:rPr>
        <w:t>amount</w:t>
      </w:r>
    </w:p>
    <w:p>
      <w:pPr>
        <w:spacing w:after="0" w:line="249" w:lineRule="auto"/>
        <w:sectPr>
          <w:footerReference w:type="default" r:id="rId18"/>
          <w:pgSz w:w="11880" w:h="15480"/>
          <w:pgMar w:footer="664" w:header="0" w:top="940" w:bottom="860" w:left="300" w:right="0"/>
          <w:pgNumType w:start="2"/>
        </w:sectPr>
      </w:pPr>
    </w:p>
    <w:p>
      <w:pPr>
        <w:pStyle w:val="BodyText"/>
        <w:spacing w:line="249" w:lineRule="auto" w:before="87"/>
        <w:ind w:left="1090" w:right="1322"/>
      </w:pPr>
      <w:r>
        <w:rPr>
          <w:color w:val="231F20"/>
          <w:w w:val="105"/>
        </w:rPr>
        <w:t>the Covered Person received, or was entitled to receive, before any deductions for tax withholding or other payments) shall be returned by the Covered Person.</w:t>
      </w:r>
    </w:p>
    <w:p>
      <w:pPr>
        <w:pStyle w:val="BodyText"/>
        <w:spacing w:before="10"/>
      </w:pPr>
    </w:p>
    <w:p>
      <w:pPr>
        <w:pStyle w:val="Heading2"/>
        <w:numPr>
          <w:ilvl w:val="0"/>
          <w:numId w:val="12"/>
        </w:numPr>
        <w:tabs>
          <w:tab w:pos="1444" w:val="left" w:leader="none"/>
        </w:tabs>
        <w:spacing w:line="240" w:lineRule="auto" w:before="0" w:after="0"/>
        <w:ind w:left="1443" w:right="0" w:hanging="354"/>
        <w:jc w:val="left"/>
      </w:pPr>
      <w:r>
        <w:rPr>
          <w:color w:val="231F20"/>
        </w:rPr>
        <w:t>Method of Compensation</w:t>
      </w:r>
      <w:r>
        <w:rPr>
          <w:color w:val="231F20"/>
          <w:spacing w:val="9"/>
        </w:rPr>
        <w:t> </w:t>
      </w:r>
      <w:r>
        <w:rPr>
          <w:color w:val="231F20"/>
          <w:spacing w:val="-3"/>
        </w:rPr>
        <w:t>Recovery</w:t>
      </w:r>
    </w:p>
    <w:p>
      <w:pPr>
        <w:pStyle w:val="BodyText"/>
        <w:spacing w:line="249" w:lineRule="auto" w:before="170"/>
        <w:ind w:left="1090" w:right="1322" w:firstLine="399"/>
      </w:pPr>
      <w:r>
        <w:rPr>
          <w:color w:val="231F20"/>
          <w:w w:val="105"/>
        </w:rPr>
        <w:t>The Committee shall determine, in its sole discretion, the method for recovering Erroneously Awarded Compensation hereunder, which may include, without limitation, any one or more of the following:</w:t>
      </w:r>
    </w:p>
    <w:p>
      <w:pPr>
        <w:pStyle w:val="ListParagraph"/>
        <w:numPr>
          <w:ilvl w:val="1"/>
          <w:numId w:val="12"/>
        </w:numPr>
        <w:tabs>
          <w:tab w:pos="1888" w:val="left" w:leader="none"/>
          <w:tab w:pos="1889" w:val="left" w:leader="none"/>
        </w:tabs>
        <w:spacing w:line="240" w:lineRule="auto" w:before="160" w:after="0"/>
        <w:ind w:left="1888" w:right="0" w:hanging="400"/>
        <w:jc w:val="left"/>
        <w:rPr>
          <w:sz w:val="20"/>
        </w:rPr>
      </w:pPr>
      <w:r>
        <w:rPr>
          <w:color w:val="231F20"/>
          <w:w w:val="105"/>
          <w:sz w:val="20"/>
        </w:rPr>
        <w:t>requiring reimbursement of cash Incentive-Based Compensation previously</w:t>
      </w:r>
      <w:r>
        <w:rPr>
          <w:color w:val="231F20"/>
          <w:spacing w:val="-5"/>
          <w:w w:val="105"/>
          <w:sz w:val="20"/>
        </w:rPr>
        <w:t> </w:t>
      </w:r>
      <w:r>
        <w:rPr>
          <w:color w:val="231F20"/>
          <w:w w:val="105"/>
          <w:sz w:val="20"/>
        </w:rPr>
        <w:t>paid;</w:t>
      </w:r>
    </w:p>
    <w:p>
      <w:pPr>
        <w:pStyle w:val="ListParagraph"/>
        <w:numPr>
          <w:ilvl w:val="1"/>
          <w:numId w:val="12"/>
        </w:numPr>
        <w:tabs>
          <w:tab w:pos="1888" w:val="left" w:leader="none"/>
          <w:tab w:pos="1889" w:val="left" w:leader="none"/>
        </w:tabs>
        <w:spacing w:line="249" w:lineRule="auto" w:before="169" w:after="0"/>
        <w:ind w:left="1888" w:right="1749" w:hanging="400"/>
        <w:jc w:val="left"/>
        <w:rPr>
          <w:sz w:val="20"/>
        </w:rPr>
      </w:pPr>
      <w:r>
        <w:rPr>
          <w:color w:val="231F20"/>
          <w:w w:val="105"/>
          <w:sz w:val="20"/>
        </w:rPr>
        <w:t>seeking recovery of </w:t>
      </w:r>
      <w:r>
        <w:rPr>
          <w:color w:val="231F20"/>
          <w:spacing w:val="-3"/>
          <w:w w:val="105"/>
          <w:sz w:val="20"/>
        </w:rPr>
        <w:t>any </w:t>
      </w:r>
      <w:r>
        <w:rPr>
          <w:color w:val="231F20"/>
          <w:w w:val="105"/>
          <w:sz w:val="20"/>
        </w:rPr>
        <w:t>gain realized on the vesting, </w:t>
      </w:r>
      <w:r>
        <w:rPr>
          <w:color w:val="231F20"/>
          <w:spacing w:val="-3"/>
          <w:w w:val="105"/>
          <w:sz w:val="20"/>
        </w:rPr>
        <w:t>exercise, </w:t>
      </w:r>
      <w:r>
        <w:rPr>
          <w:color w:val="231F20"/>
          <w:w w:val="105"/>
          <w:sz w:val="20"/>
        </w:rPr>
        <w:t>settlement, </w:t>
      </w:r>
      <w:r>
        <w:rPr>
          <w:color w:val="231F20"/>
          <w:spacing w:val="-4"/>
          <w:w w:val="105"/>
          <w:sz w:val="20"/>
        </w:rPr>
        <w:t>sale, </w:t>
      </w:r>
      <w:r>
        <w:rPr>
          <w:color w:val="231F20"/>
          <w:w w:val="105"/>
          <w:sz w:val="20"/>
        </w:rPr>
        <w:t>transfer or</w:t>
      </w:r>
      <w:r>
        <w:rPr>
          <w:color w:val="231F20"/>
          <w:spacing w:val="-35"/>
          <w:w w:val="105"/>
          <w:sz w:val="20"/>
        </w:rPr>
        <w:t> </w:t>
      </w:r>
      <w:r>
        <w:rPr>
          <w:color w:val="231F20"/>
          <w:w w:val="105"/>
          <w:sz w:val="20"/>
        </w:rPr>
        <w:t>other disposition of </w:t>
      </w:r>
      <w:r>
        <w:rPr>
          <w:color w:val="231F20"/>
          <w:spacing w:val="-3"/>
          <w:w w:val="105"/>
          <w:sz w:val="20"/>
        </w:rPr>
        <w:t>any </w:t>
      </w:r>
      <w:r>
        <w:rPr>
          <w:color w:val="231F20"/>
          <w:w w:val="105"/>
          <w:sz w:val="20"/>
        </w:rPr>
        <w:t>equity-based</w:t>
      </w:r>
      <w:r>
        <w:rPr>
          <w:color w:val="231F20"/>
          <w:spacing w:val="9"/>
          <w:w w:val="105"/>
          <w:sz w:val="20"/>
        </w:rPr>
        <w:t> </w:t>
      </w:r>
      <w:r>
        <w:rPr>
          <w:color w:val="231F20"/>
          <w:spacing w:val="-3"/>
          <w:w w:val="105"/>
          <w:sz w:val="20"/>
        </w:rPr>
        <w:t>awards;</w:t>
      </w:r>
    </w:p>
    <w:p>
      <w:pPr>
        <w:pStyle w:val="ListParagraph"/>
        <w:numPr>
          <w:ilvl w:val="1"/>
          <w:numId w:val="12"/>
        </w:numPr>
        <w:tabs>
          <w:tab w:pos="1888" w:val="left" w:leader="none"/>
          <w:tab w:pos="1889" w:val="left" w:leader="none"/>
        </w:tabs>
        <w:spacing w:line="240" w:lineRule="auto" w:before="160" w:after="0"/>
        <w:ind w:left="1888" w:right="0" w:hanging="400"/>
        <w:jc w:val="left"/>
        <w:rPr>
          <w:sz w:val="20"/>
        </w:rPr>
      </w:pPr>
      <w:r>
        <w:rPr>
          <w:color w:val="231F20"/>
          <w:w w:val="105"/>
          <w:sz w:val="20"/>
        </w:rPr>
        <w:t>cancelling or rescinding some or </w:t>
      </w:r>
      <w:r>
        <w:rPr>
          <w:color w:val="231F20"/>
          <w:spacing w:val="-3"/>
          <w:w w:val="105"/>
          <w:sz w:val="20"/>
        </w:rPr>
        <w:t>all </w:t>
      </w:r>
      <w:r>
        <w:rPr>
          <w:color w:val="231F20"/>
          <w:w w:val="105"/>
          <w:sz w:val="20"/>
        </w:rPr>
        <w:t>outstanding vested or unvested equity-based</w:t>
      </w:r>
      <w:r>
        <w:rPr>
          <w:color w:val="231F20"/>
          <w:spacing w:val="-31"/>
          <w:w w:val="105"/>
          <w:sz w:val="20"/>
        </w:rPr>
        <w:t> </w:t>
      </w:r>
      <w:r>
        <w:rPr>
          <w:color w:val="231F20"/>
          <w:spacing w:val="-3"/>
          <w:w w:val="105"/>
          <w:sz w:val="20"/>
        </w:rPr>
        <w:t>awards;</w:t>
      </w:r>
    </w:p>
    <w:p>
      <w:pPr>
        <w:pStyle w:val="ListParagraph"/>
        <w:numPr>
          <w:ilvl w:val="1"/>
          <w:numId w:val="12"/>
        </w:numPr>
        <w:tabs>
          <w:tab w:pos="1888" w:val="left" w:leader="none"/>
          <w:tab w:pos="1889" w:val="left" w:leader="none"/>
        </w:tabs>
        <w:spacing w:line="240" w:lineRule="auto" w:before="169" w:after="0"/>
        <w:ind w:left="1888" w:right="0" w:hanging="400"/>
        <w:jc w:val="left"/>
        <w:rPr>
          <w:sz w:val="20"/>
        </w:rPr>
      </w:pPr>
      <w:r>
        <w:rPr>
          <w:color w:val="231F20"/>
          <w:w w:val="110"/>
          <w:sz w:val="20"/>
        </w:rPr>
        <w:t>adjusting</w:t>
      </w:r>
      <w:r>
        <w:rPr>
          <w:color w:val="231F20"/>
          <w:spacing w:val="-8"/>
          <w:w w:val="110"/>
          <w:sz w:val="20"/>
        </w:rPr>
        <w:t> </w:t>
      </w:r>
      <w:r>
        <w:rPr>
          <w:color w:val="231F20"/>
          <w:w w:val="110"/>
          <w:sz w:val="20"/>
        </w:rPr>
        <w:t>or</w:t>
      </w:r>
      <w:r>
        <w:rPr>
          <w:color w:val="231F20"/>
          <w:spacing w:val="-8"/>
          <w:w w:val="110"/>
          <w:sz w:val="20"/>
        </w:rPr>
        <w:t> </w:t>
      </w:r>
      <w:r>
        <w:rPr>
          <w:color w:val="231F20"/>
          <w:w w:val="110"/>
          <w:sz w:val="20"/>
        </w:rPr>
        <w:t>withholding</w:t>
      </w:r>
      <w:r>
        <w:rPr>
          <w:color w:val="231F20"/>
          <w:spacing w:val="-8"/>
          <w:w w:val="110"/>
          <w:sz w:val="20"/>
        </w:rPr>
        <w:t> </w:t>
      </w:r>
      <w:r>
        <w:rPr>
          <w:color w:val="231F20"/>
          <w:w w:val="110"/>
          <w:sz w:val="20"/>
        </w:rPr>
        <w:t>from</w:t>
      </w:r>
      <w:r>
        <w:rPr>
          <w:color w:val="231F20"/>
          <w:spacing w:val="-8"/>
          <w:w w:val="110"/>
          <w:sz w:val="20"/>
        </w:rPr>
        <w:t> </w:t>
      </w:r>
      <w:r>
        <w:rPr>
          <w:color w:val="231F20"/>
          <w:w w:val="110"/>
          <w:sz w:val="20"/>
        </w:rPr>
        <w:t>unpaid</w:t>
      </w:r>
      <w:r>
        <w:rPr>
          <w:color w:val="231F20"/>
          <w:spacing w:val="-8"/>
          <w:w w:val="110"/>
          <w:sz w:val="20"/>
        </w:rPr>
        <w:t> </w:t>
      </w:r>
      <w:r>
        <w:rPr>
          <w:color w:val="231F20"/>
          <w:w w:val="110"/>
          <w:sz w:val="20"/>
        </w:rPr>
        <w:t>compensation</w:t>
      </w:r>
      <w:r>
        <w:rPr>
          <w:color w:val="231F20"/>
          <w:spacing w:val="-8"/>
          <w:w w:val="110"/>
          <w:sz w:val="20"/>
        </w:rPr>
        <w:t> </w:t>
      </w:r>
      <w:r>
        <w:rPr>
          <w:color w:val="231F20"/>
          <w:w w:val="110"/>
          <w:sz w:val="20"/>
        </w:rPr>
        <w:t>or</w:t>
      </w:r>
      <w:r>
        <w:rPr>
          <w:color w:val="231F20"/>
          <w:spacing w:val="-8"/>
          <w:w w:val="110"/>
          <w:sz w:val="20"/>
        </w:rPr>
        <w:t> </w:t>
      </w:r>
      <w:r>
        <w:rPr>
          <w:color w:val="231F20"/>
          <w:w w:val="110"/>
          <w:sz w:val="20"/>
        </w:rPr>
        <w:t>other</w:t>
      </w:r>
      <w:r>
        <w:rPr>
          <w:color w:val="231F20"/>
          <w:spacing w:val="-8"/>
          <w:w w:val="110"/>
          <w:sz w:val="20"/>
        </w:rPr>
        <w:t> </w:t>
      </w:r>
      <w:r>
        <w:rPr>
          <w:color w:val="231F20"/>
          <w:w w:val="110"/>
          <w:sz w:val="20"/>
        </w:rPr>
        <w:t>set-off;</w:t>
      </w:r>
    </w:p>
    <w:p>
      <w:pPr>
        <w:pStyle w:val="ListParagraph"/>
        <w:numPr>
          <w:ilvl w:val="1"/>
          <w:numId w:val="12"/>
        </w:numPr>
        <w:tabs>
          <w:tab w:pos="1888" w:val="left" w:leader="none"/>
          <w:tab w:pos="1889" w:val="left" w:leader="none"/>
        </w:tabs>
        <w:spacing w:line="240" w:lineRule="auto" w:before="169" w:after="0"/>
        <w:ind w:left="1888" w:right="0" w:hanging="400"/>
        <w:jc w:val="left"/>
        <w:rPr>
          <w:sz w:val="20"/>
        </w:rPr>
      </w:pPr>
      <w:r>
        <w:rPr>
          <w:color w:val="231F20"/>
          <w:w w:val="105"/>
          <w:sz w:val="20"/>
        </w:rPr>
        <w:t>cancelling or offsetting against planned future grants of equity-based </w:t>
      </w:r>
      <w:r>
        <w:rPr>
          <w:color w:val="231F20"/>
          <w:spacing w:val="-3"/>
          <w:w w:val="105"/>
          <w:sz w:val="20"/>
        </w:rPr>
        <w:t>awards; </w:t>
      </w:r>
      <w:r>
        <w:rPr>
          <w:color w:val="231F20"/>
          <w:w w:val="105"/>
          <w:sz w:val="20"/>
        </w:rPr>
        <w:t>and/or</w:t>
      </w:r>
    </w:p>
    <w:p>
      <w:pPr>
        <w:pStyle w:val="ListParagraph"/>
        <w:numPr>
          <w:ilvl w:val="1"/>
          <w:numId w:val="12"/>
        </w:numPr>
        <w:tabs>
          <w:tab w:pos="1888" w:val="left" w:leader="none"/>
          <w:tab w:pos="1889" w:val="left" w:leader="none"/>
        </w:tabs>
        <w:spacing w:line="240" w:lineRule="auto" w:before="170" w:after="0"/>
        <w:ind w:left="1888" w:right="0" w:hanging="400"/>
        <w:jc w:val="left"/>
        <w:rPr>
          <w:sz w:val="20"/>
        </w:rPr>
      </w:pPr>
      <w:r>
        <w:rPr>
          <w:color w:val="231F20"/>
          <w:spacing w:val="-3"/>
          <w:w w:val="105"/>
          <w:sz w:val="20"/>
        </w:rPr>
        <w:t>any </w:t>
      </w:r>
      <w:r>
        <w:rPr>
          <w:color w:val="231F20"/>
          <w:w w:val="105"/>
          <w:sz w:val="20"/>
        </w:rPr>
        <w:t>other method permitted by applicable </w:t>
      </w:r>
      <w:r>
        <w:rPr>
          <w:color w:val="231F20"/>
          <w:spacing w:val="-5"/>
          <w:w w:val="105"/>
          <w:sz w:val="20"/>
        </w:rPr>
        <w:t>law </w:t>
      </w:r>
      <w:r>
        <w:rPr>
          <w:color w:val="231F20"/>
          <w:w w:val="105"/>
          <w:sz w:val="20"/>
        </w:rPr>
        <w:t>or</w:t>
      </w:r>
      <w:r>
        <w:rPr>
          <w:color w:val="231F20"/>
          <w:spacing w:val="-14"/>
          <w:w w:val="105"/>
          <w:sz w:val="20"/>
        </w:rPr>
        <w:t> </w:t>
      </w:r>
      <w:r>
        <w:rPr>
          <w:color w:val="231F20"/>
          <w:w w:val="105"/>
          <w:sz w:val="20"/>
        </w:rPr>
        <w:t>contract.</w:t>
      </w:r>
    </w:p>
    <w:p>
      <w:pPr>
        <w:pStyle w:val="BodyText"/>
        <w:spacing w:line="249" w:lineRule="auto" w:before="169"/>
        <w:ind w:left="1090" w:right="1473" w:firstLine="399"/>
      </w:pPr>
      <w:r>
        <w:rPr>
          <w:color w:val="231F20"/>
          <w:w w:val="110"/>
        </w:rPr>
        <w:t>Notwithstanding the foregoing, a Covered Person will be deemed to </w:t>
      </w:r>
      <w:r>
        <w:rPr>
          <w:color w:val="231F20"/>
          <w:spacing w:val="-5"/>
          <w:w w:val="110"/>
        </w:rPr>
        <w:t>have </w:t>
      </w:r>
      <w:r>
        <w:rPr>
          <w:color w:val="231F20"/>
          <w:w w:val="110"/>
        </w:rPr>
        <w:t>satisfied such </w:t>
      </w:r>
      <w:r>
        <w:rPr>
          <w:color w:val="231F20"/>
          <w:spacing w:val="-4"/>
          <w:w w:val="110"/>
        </w:rPr>
        <w:t>person’s </w:t>
      </w:r>
      <w:r>
        <w:rPr>
          <w:color w:val="231F20"/>
          <w:w w:val="110"/>
        </w:rPr>
        <w:t>obligation</w:t>
      </w:r>
      <w:r>
        <w:rPr>
          <w:color w:val="231F20"/>
          <w:spacing w:val="-21"/>
          <w:w w:val="110"/>
        </w:rPr>
        <w:t> </w:t>
      </w:r>
      <w:r>
        <w:rPr>
          <w:color w:val="231F20"/>
          <w:w w:val="110"/>
        </w:rPr>
        <w:t>to</w:t>
      </w:r>
      <w:r>
        <w:rPr>
          <w:color w:val="231F20"/>
          <w:spacing w:val="-20"/>
          <w:w w:val="110"/>
        </w:rPr>
        <w:t> </w:t>
      </w:r>
      <w:r>
        <w:rPr>
          <w:color w:val="231F20"/>
          <w:w w:val="110"/>
        </w:rPr>
        <w:t>return</w:t>
      </w:r>
      <w:r>
        <w:rPr>
          <w:color w:val="231F20"/>
          <w:spacing w:val="-20"/>
          <w:w w:val="110"/>
        </w:rPr>
        <w:t> </w:t>
      </w:r>
      <w:r>
        <w:rPr>
          <w:color w:val="231F20"/>
          <w:w w:val="110"/>
        </w:rPr>
        <w:t>Erroneously</w:t>
      </w:r>
      <w:r>
        <w:rPr>
          <w:color w:val="231F20"/>
          <w:spacing w:val="-20"/>
          <w:w w:val="110"/>
        </w:rPr>
        <w:t> </w:t>
      </w:r>
      <w:r>
        <w:rPr>
          <w:color w:val="231F20"/>
          <w:spacing w:val="-4"/>
          <w:w w:val="110"/>
        </w:rPr>
        <w:t>Awarded</w:t>
      </w:r>
      <w:r>
        <w:rPr>
          <w:color w:val="231F20"/>
          <w:spacing w:val="-20"/>
          <w:w w:val="110"/>
        </w:rPr>
        <w:t> </w:t>
      </w:r>
      <w:r>
        <w:rPr>
          <w:color w:val="231F20"/>
          <w:w w:val="110"/>
        </w:rPr>
        <w:t>Compensation</w:t>
      </w:r>
      <w:r>
        <w:rPr>
          <w:color w:val="231F20"/>
          <w:spacing w:val="-20"/>
          <w:w w:val="110"/>
        </w:rPr>
        <w:t> </w:t>
      </w:r>
      <w:r>
        <w:rPr>
          <w:color w:val="231F20"/>
          <w:w w:val="110"/>
        </w:rPr>
        <w:t>to</w:t>
      </w:r>
      <w:r>
        <w:rPr>
          <w:color w:val="231F20"/>
          <w:spacing w:val="-20"/>
          <w:w w:val="110"/>
        </w:rPr>
        <w:t> </w:t>
      </w:r>
      <w:r>
        <w:rPr>
          <w:color w:val="231F20"/>
          <w:w w:val="110"/>
        </w:rPr>
        <w:t>the</w:t>
      </w:r>
      <w:r>
        <w:rPr>
          <w:color w:val="231F20"/>
          <w:spacing w:val="-20"/>
          <w:w w:val="110"/>
        </w:rPr>
        <w:t> </w:t>
      </w:r>
      <w:r>
        <w:rPr>
          <w:color w:val="231F20"/>
          <w:w w:val="110"/>
        </w:rPr>
        <w:t>Company</w:t>
      </w:r>
      <w:r>
        <w:rPr>
          <w:color w:val="231F20"/>
          <w:spacing w:val="-20"/>
          <w:w w:val="110"/>
        </w:rPr>
        <w:t> </w:t>
      </w:r>
      <w:r>
        <w:rPr>
          <w:color w:val="231F20"/>
          <w:w w:val="110"/>
        </w:rPr>
        <w:t>if</w:t>
      </w:r>
      <w:r>
        <w:rPr>
          <w:color w:val="231F20"/>
          <w:spacing w:val="-7"/>
          <w:w w:val="110"/>
        </w:rPr>
        <w:t> </w:t>
      </w:r>
      <w:r>
        <w:rPr>
          <w:color w:val="231F20"/>
          <w:w w:val="110"/>
        </w:rPr>
        <w:t>such</w:t>
      </w:r>
      <w:r>
        <w:rPr>
          <w:color w:val="231F20"/>
          <w:spacing w:val="-20"/>
          <w:w w:val="110"/>
        </w:rPr>
        <w:t> </w:t>
      </w:r>
      <w:r>
        <w:rPr>
          <w:color w:val="231F20"/>
          <w:w w:val="110"/>
        </w:rPr>
        <w:t>Erroneously</w:t>
      </w:r>
      <w:r>
        <w:rPr>
          <w:color w:val="231F20"/>
          <w:spacing w:val="-20"/>
          <w:w w:val="110"/>
        </w:rPr>
        <w:t> </w:t>
      </w:r>
      <w:r>
        <w:rPr>
          <w:color w:val="231F20"/>
          <w:spacing w:val="-4"/>
          <w:w w:val="110"/>
        </w:rPr>
        <w:t>Awarded </w:t>
      </w:r>
      <w:r>
        <w:rPr>
          <w:color w:val="231F20"/>
          <w:w w:val="110"/>
        </w:rPr>
        <w:t>Compensation</w:t>
      </w:r>
      <w:r>
        <w:rPr>
          <w:color w:val="231F20"/>
          <w:spacing w:val="-27"/>
          <w:w w:val="110"/>
        </w:rPr>
        <w:t> </w:t>
      </w:r>
      <w:r>
        <w:rPr>
          <w:color w:val="231F20"/>
          <w:w w:val="110"/>
        </w:rPr>
        <w:t>is</w:t>
      </w:r>
      <w:r>
        <w:rPr>
          <w:color w:val="231F20"/>
          <w:spacing w:val="-26"/>
          <w:w w:val="110"/>
        </w:rPr>
        <w:t> </w:t>
      </w:r>
      <w:r>
        <w:rPr>
          <w:color w:val="231F20"/>
          <w:w w:val="110"/>
        </w:rPr>
        <w:t>returned</w:t>
      </w:r>
      <w:r>
        <w:rPr>
          <w:color w:val="231F20"/>
          <w:spacing w:val="-27"/>
          <w:w w:val="110"/>
        </w:rPr>
        <w:t> </w:t>
      </w:r>
      <w:r>
        <w:rPr>
          <w:color w:val="231F20"/>
          <w:w w:val="110"/>
        </w:rPr>
        <w:t>in</w:t>
      </w:r>
      <w:r>
        <w:rPr>
          <w:color w:val="231F20"/>
          <w:spacing w:val="-26"/>
          <w:w w:val="110"/>
        </w:rPr>
        <w:t> </w:t>
      </w:r>
      <w:r>
        <w:rPr>
          <w:color w:val="231F20"/>
          <w:w w:val="110"/>
        </w:rPr>
        <w:t>the</w:t>
      </w:r>
      <w:r>
        <w:rPr>
          <w:color w:val="231F20"/>
          <w:spacing w:val="-27"/>
          <w:w w:val="110"/>
        </w:rPr>
        <w:t> </w:t>
      </w:r>
      <w:r>
        <w:rPr>
          <w:color w:val="231F20"/>
          <w:w w:val="110"/>
        </w:rPr>
        <w:t>exact</w:t>
      </w:r>
      <w:r>
        <w:rPr>
          <w:color w:val="231F20"/>
          <w:spacing w:val="-26"/>
          <w:w w:val="110"/>
        </w:rPr>
        <w:t> </w:t>
      </w:r>
      <w:r>
        <w:rPr>
          <w:color w:val="231F20"/>
          <w:w w:val="110"/>
        </w:rPr>
        <w:t>same</w:t>
      </w:r>
      <w:r>
        <w:rPr>
          <w:color w:val="231F20"/>
          <w:spacing w:val="-26"/>
          <w:w w:val="110"/>
        </w:rPr>
        <w:t> </w:t>
      </w:r>
      <w:r>
        <w:rPr>
          <w:color w:val="231F20"/>
          <w:w w:val="110"/>
        </w:rPr>
        <w:t>form</w:t>
      </w:r>
      <w:r>
        <w:rPr>
          <w:color w:val="231F20"/>
          <w:spacing w:val="-27"/>
          <w:w w:val="110"/>
        </w:rPr>
        <w:t> </w:t>
      </w:r>
      <w:r>
        <w:rPr>
          <w:color w:val="231F20"/>
          <w:w w:val="110"/>
        </w:rPr>
        <w:t>in</w:t>
      </w:r>
      <w:r>
        <w:rPr>
          <w:color w:val="231F20"/>
          <w:spacing w:val="-26"/>
          <w:w w:val="110"/>
        </w:rPr>
        <w:t> </w:t>
      </w:r>
      <w:r>
        <w:rPr>
          <w:color w:val="231F20"/>
          <w:w w:val="110"/>
        </w:rPr>
        <w:t>which</w:t>
      </w:r>
      <w:r>
        <w:rPr>
          <w:color w:val="231F20"/>
          <w:spacing w:val="-27"/>
          <w:w w:val="110"/>
        </w:rPr>
        <w:t> </w:t>
      </w:r>
      <w:r>
        <w:rPr>
          <w:color w:val="231F20"/>
          <w:w w:val="110"/>
        </w:rPr>
        <w:t>it</w:t>
      </w:r>
      <w:r>
        <w:rPr>
          <w:color w:val="231F20"/>
          <w:spacing w:val="-26"/>
          <w:w w:val="110"/>
        </w:rPr>
        <w:t> </w:t>
      </w:r>
      <w:r>
        <w:rPr>
          <w:color w:val="231F20"/>
          <w:w w:val="110"/>
        </w:rPr>
        <w:t>was</w:t>
      </w:r>
      <w:r>
        <w:rPr>
          <w:color w:val="231F20"/>
          <w:spacing w:val="-26"/>
          <w:w w:val="110"/>
        </w:rPr>
        <w:t> </w:t>
      </w:r>
      <w:r>
        <w:rPr>
          <w:color w:val="231F20"/>
          <w:w w:val="110"/>
        </w:rPr>
        <w:t>received,</w:t>
      </w:r>
      <w:r>
        <w:rPr>
          <w:color w:val="231F20"/>
          <w:spacing w:val="-27"/>
          <w:w w:val="110"/>
        </w:rPr>
        <w:t> </w:t>
      </w:r>
      <w:r>
        <w:rPr>
          <w:color w:val="231F20"/>
          <w:w w:val="110"/>
        </w:rPr>
        <w:t>provided</w:t>
      </w:r>
      <w:r>
        <w:rPr>
          <w:color w:val="231F20"/>
          <w:spacing w:val="-26"/>
          <w:w w:val="110"/>
        </w:rPr>
        <w:t> </w:t>
      </w:r>
      <w:r>
        <w:rPr>
          <w:color w:val="231F20"/>
          <w:w w:val="110"/>
        </w:rPr>
        <w:t>that</w:t>
      </w:r>
      <w:r>
        <w:rPr>
          <w:color w:val="231F20"/>
          <w:spacing w:val="-27"/>
          <w:w w:val="110"/>
        </w:rPr>
        <w:t> </w:t>
      </w:r>
      <w:r>
        <w:rPr>
          <w:color w:val="231F20"/>
          <w:w w:val="110"/>
        </w:rPr>
        <w:t>equity</w:t>
      </w:r>
      <w:r>
        <w:rPr>
          <w:color w:val="231F20"/>
          <w:spacing w:val="-26"/>
          <w:w w:val="110"/>
        </w:rPr>
        <w:t> </w:t>
      </w:r>
      <w:r>
        <w:rPr>
          <w:color w:val="231F20"/>
          <w:w w:val="110"/>
        </w:rPr>
        <w:t>withheld</w:t>
      </w:r>
      <w:r>
        <w:rPr>
          <w:color w:val="231F20"/>
          <w:spacing w:val="-26"/>
          <w:w w:val="110"/>
        </w:rPr>
        <w:t> </w:t>
      </w:r>
      <w:r>
        <w:rPr>
          <w:color w:val="231F20"/>
          <w:w w:val="110"/>
        </w:rPr>
        <w:t>to satisfy tax obligations will be deemed to </w:t>
      </w:r>
      <w:r>
        <w:rPr>
          <w:color w:val="231F20"/>
          <w:spacing w:val="-5"/>
          <w:w w:val="110"/>
        </w:rPr>
        <w:t>have </w:t>
      </w:r>
      <w:r>
        <w:rPr>
          <w:color w:val="231F20"/>
          <w:w w:val="110"/>
        </w:rPr>
        <w:t>been received in cash in an amount equal to the tax withholding payment</w:t>
      </w:r>
      <w:r>
        <w:rPr>
          <w:color w:val="231F20"/>
          <w:spacing w:val="-14"/>
          <w:w w:val="110"/>
        </w:rPr>
        <w:t> </w:t>
      </w:r>
      <w:r>
        <w:rPr>
          <w:color w:val="231F20"/>
          <w:spacing w:val="-3"/>
          <w:w w:val="110"/>
        </w:rPr>
        <w:t>made.</w:t>
      </w:r>
    </w:p>
    <w:p>
      <w:pPr>
        <w:pStyle w:val="BodyText"/>
        <w:spacing w:before="10"/>
      </w:pPr>
    </w:p>
    <w:p>
      <w:pPr>
        <w:pStyle w:val="Heading2"/>
        <w:numPr>
          <w:ilvl w:val="0"/>
          <w:numId w:val="12"/>
        </w:numPr>
        <w:tabs>
          <w:tab w:pos="1444" w:val="left" w:leader="none"/>
        </w:tabs>
        <w:spacing w:line="240" w:lineRule="auto" w:before="1" w:after="0"/>
        <w:ind w:left="1443" w:right="0" w:hanging="354"/>
        <w:jc w:val="left"/>
      </w:pPr>
      <w:r>
        <w:rPr>
          <w:color w:val="231F20"/>
        </w:rPr>
        <w:t>Policy</w:t>
      </w:r>
      <w:r>
        <w:rPr>
          <w:color w:val="231F20"/>
          <w:spacing w:val="-2"/>
        </w:rPr>
        <w:t> </w:t>
      </w:r>
      <w:r>
        <w:rPr>
          <w:color w:val="231F20"/>
        </w:rPr>
        <w:t>Interpretation</w:t>
      </w:r>
    </w:p>
    <w:p>
      <w:pPr>
        <w:pStyle w:val="BodyText"/>
        <w:spacing w:line="249" w:lineRule="auto" w:before="169"/>
        <w:ind w:left="1090" w:right="1419" w:firstLine="399"/>
      </w:pPr>
      <w:r>
        <w:rPr>
          <w:color w:val="231F20"/>
          <w:w w:val="105"/>
        </w:rPr>
        <w:t>This Policy shall be interpreted in a manner that is consistent with the Applicable </w:t>
      </w:r>
      <w:r>
        <w:rPr>
          <w:color w:val="231F20"/>
          <w:spacing w:val="-3"/>
          <w:w w:val="105"/>
        </w:rPr>
        <w:t>Rules </w:t>
      </w:r>
      <w:r>
        <w:rPr>
          <w:color w:val="231F20"/>
          <w:w w:val="105"/>
        </w:rPr>
        <w:t>and </w:t>
      </w:r>
      <w:r>
        <w:rPr>
          <w:color w:val="231F20"/>
          <w:spacing w:val="-3"/>
          <w:w w:val="105"/>
        </w:rPr>
        <w:t>any </w:t>
      </w:r>
      <w:r>
        <w:rPr>
          <w:color w:val="231F20"/>
          <w:w w:val="105"/>
        </w:rPr>
        <w:t>other applicable </w:t>
      </w:r>
      <w:r>
        <w:rPr>
          <w:color w:val="231F20"/>
          <w:spacing w:val="-9"/>
          <w:w w:val="105"/>
        </w:rPr>
        <w:t>law. </w:t>
      </w:r>
      <w:r>
        <w:rPr>
          <w:color w:val="231F20"/>
          <w:w w:val="105"/>
        </w:rPr>
        <w:t>The Committee shall </w:t>
      </w:r>
      <w:r>
        <w:rPr>
          <w:color w:val="231F20"/>
          <w:spacing w:val="-4"/>
          <w:w w:val="105"/>
        </w:rPr>
        <w:t>take </w:t>
      </w:r>
      <w:r>
        <w:rPr>
          <w:color w:val="231F20"/>
          <w:w w:val="105"/>
        </w:rPr>
        <w:t>into consideration </w:t>
      </w:r>
      <w:r>
        <w:rPr>
          <w:color w:val="231F20"/>
          <w:spacing w:val="-3"/>
          <w:w w:val="105"/>
        </w:rPr>
        <w:t>any </w:t>
      </w:r>
      <w:r>
        <w:rPr>
          <w:color w:val="231F20"/>
          <w:w w:val="105"/>
        </w:rPr>
        <w:t>applicable interpretations and guidance of the SEC in interpreting this </w:t>
      </w:r>
      <w:r>
        <w:rPr>
          <w:color w:val="231F20"/>
          <w:spacing w:val="-4"/>
          <w:w w:val="105"/>
        </w:rPr>
        <w:t>Policy, </w:t>
      </w:r>
      <w:r>
        <w:rPr>
          <w:color w:val="231F20"/>
          <w:w w:val="105"/>
        </w:rPr>
        <w:t>including, </w:t>
      </w:r>
      <w:r>
        <w:rPr>
          <w:color w:val="231F20"/>
          <w:spacing w:val="-3"/>
          <w:w w:val="105"/>
        </w:rPr>
        <w:t>for </w:t>
      </w:r>
      <w:r>
        <w:rPr>
          <w:color w:val="231F20"/>
          <w:w w:val="105"/>
        </w:rPr>
        <w:t>example, in determining whether a financial </w:t>
      </w:r>
      <w:r>
        <w:rPr>
          <w:color w:val="231F20"/>
          <w:spacing w:val="-3"/>
          <w:w w:val="105"/>
        </w:rPr>
        <w:t>restatement </w:t>
      </w:r>
      <w:r>
        <w:rPr>
          <w:color w:val="231F20"/>
          <w:w w:val="105"/>
        </w:rPr>
        <w:t>qualifies as a Material Financial Restatement hereunder. </w:t>
      </w:r>
      <w:r>
        <w:rPr>
          <w:color w:val="231F20"/>
          <w:spacing w:val="-11"/>
          <w:w w:val="105"/>
        </w:rPr>
        <w:t>To </w:t>
      </w:r>
      <w:r>
        <w:rPr>
          <w:color w:val="231F20"/>
          <w:w w:val="105"/>
        </w:rPr>
        <w:t>the extent the Applicable </w:t>
      </w:r>
      <w:r>
        <w:rPr>
          <w:color w:val="231F20"/>
          <w:spacing w:val="-3"/>
          <w:w w:val="105"/>
        </w:rPr>
        <w:t>Rules </w:t>
      </w:r>
      <w:r>
        <w:rPr>
          <w:color w:val="231F20"/>
          <w:w w:val="105"/>
        </w:rPr>
        <w:t>require recovery of Incentive-Based Compensation in additional circumstances besides those specified </w:t>
      </w:r>
      <w:r>
        <w:rPr>
          <w:color w:val="231F20"/>
          <w:spacing w:val="-5"/>
          <w:w w:val="105"/>
        </w:rPr>
        <w:t>above, </w:t>
      </w:r>
      <w:r>
        <w:rPr>
          <w:color w:val="231F20"/>
          <w:w w:val="105"/>
        </w:rPr>
        <w:t>nothing in this Policy shall be deemed to limit or restrict the right or obligation of the Company to recover Incentive-Based Compensation to the fullest extent required by the Applicable</w:t>
      </w:r>
      <w:r>
        <w:rPr>
          <w:color w:val="231F20"/>
          <w:spacing w:val="-31"/>
          <w:w w:val="105"/>
        </w:rPr>
        <w:t> </w:t>
      </w:r>
      <w:r>
        <w:rPr>
          <w:color w:val="231F20"/>
          <w:spacing w:val="-5"/>
          <w:w w:val="105"/>
        </w:rPr>
        <w:t>Rules.</w:t>
      </w:r>
    </w:p>
    <w:p>
      <w:pPr>
        <w:pStyle w:val="BodyText"/>
        <w:rPr>
          <w:sz w:val="21"/>
        </w:rPr>
      </w:pPr>
    </w:p>
    <w:p>
      <w:pPr>
        <w:pStyle w:val="Heading2"/>
        <w:numPr>
          <w:ilvl w:val="0"/>
          <w:numId w:val="12"/>
        </w:numPr>
        <w:tabs>
          <w:tab w:pos="1444" w:val="left" w:leader="none"/>
        </w:tabs>
        <w:spacing w:line="240" w:lineRule="auto" w:before="0" w:after="0"/>
        <w:ind w:left="1443" w:right="0" w:hanging="354"/>
        <w:jc w:val="left"/>
      </w:pPr>
      <w:r>
        <w:rPr>
          <w:color w:val="231F20"/>
        </w:rPr>
        <w:t>Policy</w:t>
      </w:r>
      <w:r>
        <w:rPr>
          <w:color w:val="231F20"/>
          <w:spacing w:val="-2"/>
        </w:rPr>
        <w:t> </w:t>
      </w:r>
      <w:r>
        <w:rPr>
          <w:color w:val="231F20"/>
        </w:rPr>
        <w:t>Administration</w:t>
      </w:r>
    </w:p>
    <w:p>
      <w:pPr>
        <w:pStyle w:val="BodyText"/>
        <w:spacing w:line="249" w:lineRule="auto" w:before="169"/>
        <w:ind w:left="1090" w:right="1387" w:firstLine="399"/>
      </w:pPr>
      <w:r>
        <w:rPr>
          <w:color w:val="231F20"/>
          <w:w w:val="105"/>
        </w:rPr>
        <w:t>This Policy shall be administered by the Committee. The Committee shall </w:t>
      </w:r>
      <w:r>
        <w:rPr>
          <w:color w:val="231F20"/>
          <w:spacing w:val="-5"/>
          <w:w w:val="105"/>
        </w:rPr>
        <w:t>have </w:t>
      </w:r>
      <w:r>
        <w:rPr>
          <w:color w:val="231F20"/>
          <w:w w:val="105"/>
        </w:rPr>
        <w:t>such powers and authorities related to the administration of  this Policy as are consistent with the governing documents of  the Company and applicable </w:t>
      </w:r>
      <w:r>
        <w:rPr>
          <w:color w:val="231F20"/>
          <w:spacing w:val="-9"/>
          <w:w w:val="105"/>
        </w:rPr>
        <w:t>law. </w:t>
      </w:r>
      <w:r>
        <w:rPr>
          <w:color w:val="231F20"/>
          <w:w w:val="105"/>
        </w:rPr>
        <w:t>The Committee shall </w:t>
      </w:r>
      <w:r>
        <w:rPr>
          <w:color w:val="231F20"/>
          <w:spacing w:val="-5"/>
          <w:w w:val="105"/>
        </w:rPr>
        <w:t>have </w:t>
      </w:r>
      <w:r>
        <w:rPr>
          <w:color w:val="231F20"/>
          <w:w w:val="105"/>
        </w:rPr>
        <w:t>full power and authority to </w:t>
      </w:r>
      <w:r>
        <w:rPr>
          <w:color w:val="231F20"/>
          <w:spacing w:val="-6"/>
          <w:w w:val="105"/>
        </w:rPr>
        <w:t>take, </w:t>
      </w:r>
      <w:r>
        <w:rPr>
          <w:color w:val="231F20"/>
          <w:w w:val="105"/>
        </w:rPr>
        <w:t>or direct the taking of, </w:t>
      </w:r>
      <w:r>
        <w:rPr>
          <w:color w:val="231F20"/>
          <w:spacing w:val="-3"/>
          <w:w w:val="105"/>
        </w:rPr>
        <w:t>all </w:t>
      </w:r>
      <w:r>
        <w:rPr>
          <w:color w:val="231F20"/>
          <w:w w:val="105"/>
        </w:rPr>
        <w:t>actions and to </w:t>
      </w:r>
      <w:r>
        <w:rPr>
          <w:color w:val="231F20"/>
          <w:spacing w:val="-4"/>
          <w:w w:val="105"/>
        </w:rPr>
        <w:t>make </w:t>
      </w:r>
      <w:r>
        <w:rPr>
          <w:color w:val="231F20"/>
          <w:spacing w:val="-3"/>
          <w:w w:val="105"/>
        </w:rPr>
        <w:t>all </w:t>
      </w:r>
      <w:r>
        <w:rPr>
          <w:color w:val="231F20"/>
          <w:w w:val="105"/>
        </w:rPr>
        <w:t>determinations required or provided </w:t>
      </w:r>
      <w:r>
        <w:rPr>
          <w:color w:val="231F20"/>
          <w:spacing w:val="-3"/>
          <w:w w:val="105"/>
        </w:rPr>
        <w:t>for </w:t>
      </w:r>
      <w:r>
        <w:rPr>
          <w:color w:val="231F20"/>
          <w:w w:val="105"/>
        </w:rPr>
        <w:t>under this Policy and shall </w:t>
      </w:r>
      <w:r>
        <w:rPr>
          <w:color w:val="231F20"/>
          <w:spacing w:val="-5"/>
          <w:w w:val="105"/>
        </w:rPr>
        <w:t>have </w:t>
      </w:r>
      <w:r>
        <w:rPr>
          <w:color w:val="231F20"/>
          <w:w w:val="105"/>
        </w:rPr>
        <w:t>full power and authority to </w:t>
      </w:r>
      <w:r>
        <w:rPr>
          <w:color w:val="231F20"/>
          <w:spacing w:val="-6"/>
          <w:w w:val="105"/>
        </w:rPr>
        <w:t>take, </w:t>
      </w:r>
      <w:r>
        <w:rPr>
          <w:color w:val="231F20"/>
          <w:w w:val="105"/>
        </w:rPr>
        <w:t>or direct the taking of, </w:t>
      </w:r>
      <w:r>
        <w:rPr>
          <w:color w:val="231F20"/>
          <w:spacing w:val="-3"/>
          <w:w w:val="105"/>
        </w:rPr>
        <w:t>all </w:t>
      </w:r>
      <w:r>
        <w:rPr>
          <w:color w:val="231F20"/>
          <w:w w:val="105"/>
        </w:rPr>
        <w:t>such other actions and </w:t>
      </w:r>
      <w:r>
        <w:rPr>
          <w:color w:val="231F20"/>
          <w:spacing w:val="-4"/>
          <w:w w:val="105"/>
        </w:rPr>
        <w:t>make </w:t>
      </w:r>
      <w:r>
        <w:rPr>
          <w:color w:val="231F20"/>
          <w:spacing w:val="-3"/>
          <w:w w:val="105"/>
        </w:rPr>
        <w:t>all </w:t>
      </w:r>
      <w:r>
        <w:rPr>
          <w:color w:val="231F20"/>
          <w:w w:val="105"/>
        </w:rPr>
        <w:t>such other determinations not inconsistent with the specific terms and provisions of this Policy that the Committee deems to be necessary or appropriate to the administration of this </w:t>
      </w:r>
      <w:r>
        <w:rPr>
          <w:color w:val="231F20"/>
          <w:spacing w:val="-5"/>
          <w:w w:val="105"/>
        </w:rPr>
        <w:t>Policy. </w:t>
      </w:r>
      <w:r>
        <w:rPr>
          <w:color w:val="231F20"/>
          <w:w w:val="105"/>
        </w:rPr>
        <w:t>The interpretation and construction by the Committee of </w:t>
      </w:r>
      <w:r>
        <w:rPr>
          <w:color w:val="231F20"/>
          <w:spacing w:val="-3"/>
          <w:w w:val="105"/>
        </w:rPr>
        <w:t>any </w:t>
      </w:r>
      <w:r>
        <w:rPr>
          <w:color w:val="231F20"/>
          <w:w w:val="105"/>
        </w:rPr>
        <w:t>provision of this Policy and </w:t>
      </w:r>
      <w:r>
        <w:rPr>
          <w:color w:val="231F20"/>
          <w:spacing w:val="-3"/>
          <w:w w:val="105"/>
        </w:rPr>
        <w:t>all </w:t>
      </w:r>
      <w:r>
        <w:rPr>
          <w:color w:val="231F20"/>
          <w:w w:val="105"/>
        </w:rPr>
        <w:t>determinations made by the Committee</w:t>
      </w:r>
      <w:r>
        <w:rPr>
          <w:color w:val="231F20"/>
          <w:spacing w:val="40"/>
          <w:w w:val="105"/>
        </w:rPr>
        <w:t> </w:t>
      </w:r>
      <w:r>
        <w:rPr>
          <w:color w:val="231F20"/>
          <w:w w:val="105"/>
        </w:rPr>
        <w:t>under</w:t>
      </w:r>
    </w:p>
    <w:p>
      <w:pPr>
        <w:pStyle w:val="BodyText"/>
        <w:spacing w:before="2"/>
        <w:ind w:left="1090"/>
      </w:pPr>
      <w:r>
        <w:rPr>
          <w:color w:val="231F20"/>
          <w:w w:val="105"/>
        </w:rPr>
        <w:t>this policy shall be final, binding and conclusive.</w:t>
      </w:r>
    </w:p>
    <w:p>
      <w:pPr>
        <w:pStyle w:val="BodyText"/>
        <w:spacing w:before="8"/>
        <w:rPr>
          <w:sz w:val="21"/>
        </w:rPr>
      </w:pPr>
    </w:p>
    <w:p>
      <w:pPr>
        <w:pStyle w:val="Heading2"/>
        <w:numPr>
          <w:ilvl w:val="0"/>
          <w:numId w:val="12"/>
        </w:numPr>
        <w:tabs>
          <w:tab w:pos="1444" w:val="left" w:leader="none"/>
        </w:tabs>
        <w:spacing w:line="240" w:lineRule="auto" w:before="0" w:after="0"/>
        <w:ind w:left="1443" w:right="0" w:hanging="354"/>
        <w:jc w:val="left"/>
      </w:pPr>
      <w:r>
        <w:rPr>
          <w:color w:val="231F20"/>
        </w:rPr>
        <w:t>Compensation </w:t>
      </w:r>
      <w:r>
        <w:rPr>
          <w:color w:val="231F20"/>
          <w:spacing w:val="-3"/>
        </w:rPr>
        <w:t>Recovery </w:t>
      </w:r>
      <w:r>
        <w:rPr>
          <w:color w:val="231F20"/>
        </w:rPr>
        <w:t>Repayments not Subject to</w:t>
      </w:r>
      <w:r>
        <w:rPr>
          <w:color w:val="231F20"/>
          <w:spacing w:val="-18"/>
        </w:rPr>
        <w:t> </w:t>
      </w:r>
      <w:r>
        <w:rPr>
          <w:color w:val="231F20"/>
        </w:rPr>
        <w:t>Indemnification</w:t>
      </w:r>
    </w:p>
    <w:p>
      <w:pPr>
        <w:pStyle w:val="BodyText"/>
        <w:spacing w:line="249" w:lineRule="auto" w:before="169"/>
        <w:ind w:left="1090" w:right="1425" w:firstLine="399"/>
      </w:pPr>
      <w:r>
        <w:rPr>
          <w:color w:val="231F20"/>
          <w:w w:val="110"/>
        </w:rPr>
        <w:t>Notwithstanding anything to the contrary set forth in </w:t>
      </w:r>
      <w:r>
        <w:rPr>
          <w:color w:val="231F20"/>
          <w:spacing w:val="-3"/>
          <w:w w:val="110"/>
        </w:rPr>
        <w:t>any </w:t>
      </w:r>
      <w:r>
        <w:rPr>
          <w:color w:val="231F20"/>
          <w:w w:val="110"/>
        </w:rPr>
        <w:t>agreement with, or the organizational documents</w:t>
      </w:r>
      <w:r>
        <w:rPr>
          <w:color w:val="231F20"/>
          <w:spacing w:val="-24"/>
          <w:w w:val="110"/>
        </w:rPr>
        <w:t> </w:t>
      </w:r>
      <w:r>
        <w:rPr>
          <w:color w:val="231F20"/>
          <w:w w:val="110"/>
        </w:rPr>
        <w:t>of,</w:t>
      </w:r>
      <w:r>
        <w:rPr>
          <w:color w:val="231F20"/>
          <w:spacing w:val="-23"/>
          <w:w w:val="110"/>
        </w:rPr>
        <w:t> </w:t>
      </w:r>
      <w:r>
        <w:rPr>
          <w:color w:val="231F20"/>
          <w:w w:val="110"/>
        </w:rPr>
        <w:t>the</w:t>
      </w:r>
      <w:r>
        <w:rPr>
          <w:color w:val="231F20"/>
          <w:spacing w:val="-23"/>
          <w:w w:val="110"/>
        </w:rPr>
        <w:t> </w:t>
      </w:r>
      <w:r>
        <w:rPr>
          <w:color w:val="231F20"/>
          <w:w w:val="110"/>
        </w:rPr>
        <w:t>Company</w:t>
      </w:r>
      <w:r>
        <w:rPr>
          <w:color w:val="231F20"/>
          <w:spacing w:val="-23"/>
          <w:w w:val="110"/>
        </w:rPr>
        <w:t> </w:t>
      </w:r>
      <w:r>
        <w:rPr>
          <w:color w:val="231F20"/>
          <w:w w:val="110"/>
        </w:rPr>
        <w:t>or</w:t>
      </w:r>
      <w:r>
        <w:rPr>
          <w:color w:val="231F20"/>
          <w:spacing w:val="-24"/>
          <w:w w:val="110"/>
        </w:rPr>
        <w:t> </w:t>
      </w:r>
      <w:r>
        <w:rPr>
          <w:color w:val="231F20"/>
          <w:spacing w:val="-3"/>
          <w:w w:val="110"/>
        </w:rPr>
        <w:t>any</w:t>
      </w:r>
      <w:r>
        <w:rPr>
          <w:color w:val="231F20"/>
          <w:spacing w:val="-23"/>
          <w:w w:val="110"/>
        </w:rPr>
        <w:t> </w:t>
      </w:r>
      <w:r>
        <w:rPr>
          <w:color w:val="231F20"/>
          <w:w w:val="110"/>
        </w:rPr>
        <w:t>of</w:t>
      </w:r>
      <w:r>
        <w:rPr>
          <w:color w:val="231F20"/>
          <w:spacing w:val="-11"/>
          <w:w w:val="110"/>
        </w:rPr>
        <w:t> </w:t>
      </w:r>
      <w:r>
        <w:rPr>
          <w:color w:val="231F20"/>
          <w:w w:val="110"/>
        </w:rPr>
        <w:t>its</w:t>
      </w:r>
      <w:r>
        <w:rPr>
          <w:color w:val="231F20"/>
          <w:spacing w:val="-23"/>
          <w:w w:val="110"/>
        </w:rPr>
        <w:t> </w:t>
      </w:r>
      <w:r>
        <w:rPr>
          <w:color w:val="231F20"/>
          <w:w w:val="110"/>
        </w:rPr>
        <w:t>subsidiaries,</w:t>
      </w:r>
      <w:r>
        <w:rPr>
          <w:color w:val="231F20"/>
          <w:spacing w:val="-23"/>
          <w:w w:val="110"/>
        </w:rPr>
        <w:t> </w:t>
      </w:r>
      <w:r>
        <w:rPr>
          <w:color w:val="231F20"/>
          <w:w w:val="110"/>
        </w:rPr>
        <w:t>Covered</w:t>
      </w:r>
      <w:r>
        <w:rPr>
          <w:color w:val="231F20"/>
          <w:spacing w:val="-24"/>
          <w:w w:val="110"/>
        </w:rPr>
        <w:t> </w:t>
      </w:r>
      <w:r>
        <w:rPr>
          <w:color w:val="231F20"/>
          <w:w w:val="110"/>
        </w:rPr>
        <w:t>Persons</w:t>
      </w:r>
      <w:r>
        <w:rPr>
          <w:color w:val="231F20"/>
          <w:spacing w:val="-23"/>
          <w:w w:val="110"/>
        </w:rPr>
        <w:t> </w:t>
      </w:r>
      <w:r>
        <w:rPr>
          <w:color w:val="231F20"/>
          <w:w w:val="110"/>
        </w:rPr>
        <w:t>are</w:t>
      </w:r>
      <w:r>
        <w:rPr>
          <w:color w:val="231F20"/>
          <w:spacing w:val="-23"/>
          <w:w w:val="110"/>
        </w:rPr>
        <w:t> </w:t>
      </w:r>
      <w:r>
        <w:rPr>
          <w:color w:val="231F20"/>
          <w:w w:val="110"/>
        </w:rPr>
        <w:t>not</w:t>
      </w:r>
      <w:r>
        <w:rPr>
          <w:color w:val="231F20"/>
          <w:spacing w:val="-23"/>
          <w:w w:val="110"/>
        </w:rPr>
        <w:t> </w:t>
      </w:r>
      <w:r>
        <w:rPr>
          <w:color w:val="231F20"/>
          <w:w w:val="110"/>
        </w:rPr>
        <w:t>entitled</w:t>
      </w:r>
      <w:r>
        <w:rPr>
          <w:color w:val="231F20"/>
          <w:spacing w:val="-24"/>
          <w:w w:val="110"/>
        </w:rPr>
        <w:t> </w:t>
      </w:r>
      <w:r>
        <w:rPr>
          <w:color w:val="231F20"/>
          <w:w w:val="110"/>
        </w:rPr>
        <w:t>to</w:t>
      </w:r>
      <w:r>
        <w:rPr>
          <w:color w:val="231F20"/>
          <w:spacing w:val="-23"/>
          <w:w w:val="110"/>
        </w:rPr>
        <w:t> </w:t>
      </w:r>
      <w:r>
        <w:rPr>
          <w:color w:val="231F20"/>
          <w:w w:val="110"/>
        </w:rPr>
        <w:t>indemnification </w:t>
      </w:r>
      <w:r>
        <w:rPr>
          <w:color w:val="231F20"/>
          <w:spacing w:val="-3"/>
          <w:w w:val="110"/>
        </w:rPr>
        <w:t>for</w:t>
      </w:r>
      <w:r>
        <w:rPr>
          <w:color w:val="231F20"/>
          <w:spacing w:val="-6"/>
          <w:w w:val="110"/>
        </w:rPr>
        <w:t> </w:t>
      </w:r>
      <w:r>
        <w:rPr>
          <w:color w:val="231F20"/>
          <w:w w:val="110"/>
        </w:rPr>
        <w:t>Erroneously</w:t>
      </w:r>
      <w:r>
        <w:rPr>
          <w:color w:val="231F20"/>
          <w:spacing w:val="-6"/>
          <w:w w:val="110"/>
        </w:rPr>
        <w:t> </w:t>
      </w:r>
      <w:r>
        <w:rPr>
          <w:color w:val="231F20"/>
          <w:spacing w:val="-4"/>
          <w:w w:val="110"/>
        </w:rPr>
        <w:t>Awarded</w:t>
      </w:r>
      <w:r>
        <w:rPr>
          <w:color w:val="231F20"/>
          <w:spacing w:val="-6"/>
          <w:w w:val="110"/>
        </w:rPr>
        <w:t> </w:t>
      </w:r>
      <w:r>
        <w:rPr>
          <w:color w:val="231F20"/>
          <w:w w:val="110"/>
        </w:rPr>
        <w:t>Compensation</w:t>
      </w:r>
      <w:r>
        <w:rPr>
          <w:color w:val="231F20"/>
          <w:spacing w:val="-6"/>
          <w:w w:val="110"/>
        </w:rPr>
        <w:t> </w:t>
      </w:r>
      <w:r>
        <w:rPr>
          <w:color w:val="231F20"/>
          <w:w w:val="110"/>
        </w:rPr>
        <w:t>or</w:t>
      </w:r>
      <w:r>
        <w:rPr>
          <w:color w:val="231F20"/>
          <w:spacing w:val="-5"/>
          <w:w w:val="110"/>
        </w:rPr>
        <w:t> </w:t>
      </w:r>
      <w:r>
        <w:rPr>
          <w:color w:val="231F20"/>
          <w:spacing w:val="-3"/>
          <w:w w:val="110"/>
        </w:rPr>
        <w:t>for</w:t>
      </w:r>
      <w:r>
        <w:rPr>
          <w:color w:val="231F20"/>
          <w:spacing w:val="-6"/>
          <w:w w:val="110"/>
        </w:rPr>
        <w:t> </w:t>
      </w:r>
      <w:r>
        <w:rPr>
          <w:color w:val="231F20"/>
          <w:spacing w:val="-3"/>
          <w:w w:val="110"/>
        </w:rPr>
        <w:t>any</w:t>
      </w:r>
      <w:r>
        <w:rPr>
          <w:color w:val="231F20"/>
          <w:spacing w:val="-6"/>
          <w:w w:val="110"/>
        </w:rPr>
        <w:t> </w:t>
      </w:r>
      <w:r>
        <w:rPr>
          <w:color w:val="231F20"/>
          <w:w w:val="110"/>
        </w:rPr>
        <w:t>claim</w:t>
      </w:r>
      <w:r>
        <w:rPr>
          <w:color w:val="231F20"/>
          <w:spacing w:val="-6"/>
          <w:w w:val="110"/>
        </w:rPr>
        <w:t> </w:t>
      </w:r>
      <w:r>
        <w:rPr>
          <w:color w:val="231F20"/>
          <w:w w:val="110"/>
        </w:rPr>
        <w:t>or</w:t>
      </w:r>
      <w:r>
        <w:rPr>
          <w:color w:val="231F20"/>
          <w:spacing w:val="-6"/>
          <w:w w:val="110"/>
        </w:rPr>
        <w:t> </w:t>
      </w:r>
      <w:r>
        <w:rPr>
          <w:color w:val="231F20"/>
          <w:w w:val="110"/>
        </w:rPr>
        <w:t>losses</w:t>
      </w:r>
      <w:r>
        <w:rPr>
          <w:color w:val="231F20"/>
          <w:spacing w:val="-5"/>
          <w:w w:val="110"/>
        </w:rPr>
        <w:t> </w:t>
      </w:r>
      <w:r>
        <w:rPr>
          <w:color w:val="231F20"/>
          <w:w w:val="110"/>
        </w:rPr>
        <w:t>arising</w:t>
      </w:r>
      <w:r>
        <w:rPr>
          <w:color w:val="231F20"/>
          <w:spacing w:val="-6"/>
          <w:w w:val="110"/>
        </w:rPr>
        <w:t> </w:t>
      </w:r>
      <w:r>
        <w:rPr>
          <w:color w:val="231F20"/>
          <w:w w:val="110"/>
        </w:rPr>
        <w:t>out</w:t>
      </w:r>
      <w:r>
        <w:rPr>
          <w:color w:val="231F20"/>
          <w:spacing w:val="-6"/>
          <w:w w:val="110"/>
        </w:rPr>
        <w:t> </w:t>
      </w:r>
      <w:r>
        <w:rPr>
          <w:color w:val="231F20"/>
          <w:w w:val="110"/>
        </w:rPr>
        <w:t>of</w:t>
      </w:r>
      <w:r>
        <w:rPr>
          <w:color w:val="231F20"/>
          <w:spacing w:val="8"/>
          <w:w w:val="110"/>
        </w:rPr>
        <w:t> </w:t>
      </w:r>
      <w:r>
        <w:rPr>
          <w:color w:val="231F20"/>
          <w:w w:val="110"/>
        </w:rPr>
        <w:t>or</w:t>
      </w:r>
      <w:r>
        <w:rPr>
          <w:color w:val="231F20"/>
          <w:spacing w:val="-5"/>
          <w:w w:val="110"/>
        </w:rPr>
        <w:t> </w:t>
      </w:r>
      <w:r>
        <w:rPr>
          <w:color w:val="231F20"/>
          <w:w w:val="110"/>
        </w:rPr>
        <w:t>in</w:t>
      </w:r>
      <w:r>
        <w:rPr>
          <w:color w:val="231F20"/>
          <w:spacing w:val="-6"/>
          <w:w w:val="110"/>
        </w:rPr>
        <w:t> </w:t>
      </w:r>
      <w:r>
        <w:rPr>
          <w:color w:val="231F20"/>
          <w:spacing w:val="-3"/>
          <w:w w:val="110"/>
        </w:rPr>
        <w:t>any</w:t>
      </w:r>
      <w:r>
        <w:rPr>
          <w:color w:val="231F20"/>
          <w:spacing w:val="-6"/>
          <w:w w:val="110"/>
        </w:rPr>
        <w:t> </w:t>
      </w:r>
      <w:r>
        <w:rPr>
          <w:color w:val="231F20"/>
          <w:spacing w:val="-4"/>
          <w:w w:val="110"/>
        </w:rPr>
        <w:t>way</w:t>
      </w:r>
      <w:r>
        <w:rPr>
          <w:color w:val="231F20"/>
          <w:spacing w:val="-6"/>
          <w:w w:val="110"/>
        </w:rPr>
        <w:t> </w:t>
      </w:r>
      <w:r>
        <w:rPr>
          <w:color w:val="231F20"/>
          <w:w w:val="110"/>
        </w:rPr>
        <w:t>related</w:t>
      </w:r>
      <w:r>
        <w:rPr>
          <w:color w:val="231F20"/>
          <w:spacing w:val="-6"/>
          <w:w w:val="110"/>
        </w:rPr>
        <w:t> </w:t>
      </w:r>
      <w:r>
        <w:rPr>
          <w:color w:val="231F20"/>
          <w:spacing w:val="-7"/>
          <w:w w:val="110"/>
        </w:rPr>
        <w:t>to </w:t>
      </w:r>
      <w:r>
        <w:rPr>
          <w:color w:val="231F20"/>
          <w:w w:val="110"/>
        </w:rPr>
        <w:t>Erroneously</w:t>
      </w:r>
      <w:r>
        <w:rPr>
          <w:color w:val="231F20"/>
          <w:spacing w:val="-9"/>
          <w:w w:val="110"/>
        </w:rPr>
        <w:t> </w:t>
      </w:r>
      <w:r>
        <w:rPr>
          <w:color w:val="231F20"/>
          <w:spacing w:val="-4"/>
          <w:w w:val="110"/>
        </w:rPr>
        <w:t>Awarded</w:t>
      </w:r>
      <w:r>
        <w:rPr>
          <w:color w:val="231F20"/>
          <w:spacing w:val="-9"/>
          <w:w w:val="110"/>
        </w:rPr>
        <w:t> </w:t>
      </w:r>
      <w:r>
        <w:rPr>
          <w:color w:val="231F20"/>
          <w:w w:val="110"/>
        </w:rPr>
        <w:t>Compensation</w:t>
      </w:r>
      <w:r>
        <w:rPr>
          <w:color w:val="231F20"/>
          <w:spacing w:val="-8"/>
          <w:w w:val="110"/>
        </w:rPr>
        <w:t> </w:t>
      </w:r>
      <w:r>
        <w:rPr>
          <w:color w:val="231F20"/>
          <w:w w:val="110"/>
        </w:rPr>
        <w:t>recovered</w:t>
      </w:r>
      <w:r>
        <w:rPr>
          <w:color w:val="231F20"/>
          <w:spacing w:val="-9"/>
          <w:w w:val="110"/>
        </w:rPr>
        <w:t> </w:t>
      </w:r>
      <w:r>
        <w:rPr>
          <w:color w:val="231F20"/>
          <w:w w:val="110"/>
        </w:rPr>
        <w:t>under</w:t>
      </w:r>
      <w:r>
        <w:rPr>
          <w:color w:val="231F20"/>
          <w:spacing w:val="-9"/>
          <w:w w:val="110"/>
        </w:rPr>
        <w:t> </w:t>
      </w:r>
      <w:r>
        <w:rPr>
          <w:color w:val="231F20"/>
          <w:w w:val="110"/>
        </w:rPr>
        <w:t>this</w:t>
      </w:r>
      <w:r>
        <w:rPr>
          <w:color w:val="231F20"/>
          <w:spacing w:val="-8"/>
          <w:w w:val="110"/>
        </w:rPr>
        <w:t> </w:t>
      </w:r>
      <w:r>
        <w:rPr>
          <w:color w:val="231F20"/>
          <w:spacing w:val="-5"/>
          <w:w w:val="110"/>
        </w:rPr>
        <w:t>Policy.</w:t>
      </w:r>
    </w:p>
    <w:p>
      <w:pPr>
        <w:spacing w:after="0" w:line="249" w:lineRule="auto"/>
        <w:sectPr>
          <w:pgSz w:w="11880" w:h="15480"/>
          <w:pgMar w:header="0" w:footer="664" w:top="940" w:bottom="860" w:left="300" w:right="0"/>
        </w:sectPr>
      </w:pPr>
    </w:p>
    <w:p>
      <w:pPr>
        <w:pStyle w:val="BodyText"/>
        <w:tabs>
          <w:tab w:pos="3433" w:val="left" w:leader="none"/>
        </w:tabs>
        <w:spacing w:line="210" w:lineRule="exact"/>
        <w:ind w:left="170"/>
      </w:pPr>
      <w:r>
        <w:rPr>
          <w:position w:val="-3"/>
        </w:rPr>
        <w:pict>
          <v:group style="width:10.5pt;height:10.5pt;mso-position-horizontal-relative:char;mso-position-vertical-relative:line" coordorigin="0,0" coordsize="210,210">
            <v:rect style="position:absolute;left:0;top:0;width:210;height:210" filled="true" fillcolor="#231f20" stroked="false">
              <v:fill type="solid"/>
            </v:rect>
          </v:group>
        </w:pict>
      </w:r>
      <w:r>
        <w:rPr>
          <w:position w:val="-3"/>
        </w:rPr>
      </w:r>
      <w:r>
        <w:rPr>
          <w:position w:val="-3"/>
        </w:rPr>
        <w:tab/>
      </w:r>
      <w:r>
        <w:rPr>
          <w:position w:val="-3"/>
        </w:rPr>
        <w:pict>
          <v:group style="width:10.5pt;height:10.5pt;mso-position-horizontal-relative:char;mso-position-vertical-relative:line" coordorigin="0,0" coordsize="210,210">
            <v:rect style="position:absolute;left:0;top:0;width:210;height:210" filled="true" fillcolor="#231f20" stroked="false">
              <v:fill type="solid"/>
            </v:rect>
          </v:group>
        </w:pict>
      </w:r>
      <w:r>
        <w:rPr>
          <w:position w:val="-3"/>
        </w:rPr>
      </w:r>
    </w:p>
    <w:p>
      <w:pPr>
        <w:spacing w:after="0" w:line="210" w:lineRule="exact"/>
        <w:sectPr>
          <w:footerReference w:type="default" r:id="rId19"/>
          <w:pgSz w:w="11880" w:h="15480"/>
          <w:pgMar w:footer="0" w:header="0" w:top="760" w:bottom="280" w:left="300" w:right="0"/>
        </w:sectPr>
      </w:pPr>
    </w:p>
    <w:p>
      <w:pPr>
        <w:spacing w:line="230" w:lineRule="auto" w:before="122"/>
        <w:ind w:left="1094" w:right="28" w:hanging="654"/>
        <w:jc w:val="left"/>
        <w:rPr>
          <w:rFonts w:ascii="Arial"/>
          <w:b/>
          <w:sz w:val="15"/>
        </w:rPr>
      </w:pPr>
      <w:r>
        <w:rPr>
          <w:rFonts w:ascii="Arial"/>
          <w:b/>
          <w:color w:val="231F20"/>
          <w:sz w:val="15"/>
        </w:rPr>
        <w:t>Annual General Shareholders Meeting of SHL Telemedicine Ltd.</w:t>
      </w:r>
    </w:p>
    <w:p>
      <w:pPr>
        <w:tabs>
          <w:tab w:pos="692" w:val="left" w:leader="none"/>
        </w:tabs>
        <w:spacing w:line="136" w:lineRule="exact" w:before="21"/>
        <w:ind w:left="153" w:right="0" w:firstLine="0"/>
        <w:jc w:val="left"/>
        <w:rPr>
          <w:rFonts w:ascii="Arial"/>
          <w:sz w:val="12"/>
        </w:rPr>
      </w:pPr>
      <w:r>
        <w:rPr>
          <w:rFonts w:ascii="Arial"/>
          <w:b/>
          <w:color w:val="231F20"/>
          <w:w w:val="95"/>
          <w:sz w:val="12"/>
        </w:rPr>
        <w:t>Date:</w:t>
        <w:tab/>
      </w:r>
      <w:r>
        <w:rPr>
          <w:rFonts w:ascii="Arial"/>
          <w:color w:val="231F20"/>
          <w:w w:val="95"/>
          <w:sz w:val="12"/>
        </w:rPr>
        <w:t>February 8,</w:t>
      </w:r>
      <w:r>
        <w:rPr>
          <w:rFonts w:ascii="Arial"/>
          <w:color w:val="231F20"/>
          <w:spacing w:val="-4"/>
          <w:w w:val="95"/>
          <w:sz w:val="12"/>
        </w:rPr>
        <w:t> </w:t>
      </w:r>
      <w:r>
        <w:rPr>
          <w:rFonts w:ascii="Arial"/>
          <w:color w:val="231F20"/>
          <w:w w:val="95"/>
          <w:sz w:val="12"/>
        </w:rPr>
        <w:t>2024</w:t>
      </w:r>
    </w:p>
    <w:p>
      <w:pPr>
        <w:spacing w:line="121" w:lineRule="exact" w:before="0"/>
        <w:ind w:left="693" w:right="0" w:firstLine="0"/>
        <w:jc w:val="left"/>
        <w:rPr>
          <w:rFonts w:ascii="Arial"/>
          <w:sz w:val="12"/>
        </w:rPr>
      </w:pPr>
      <w:r>
        <w:rPr>
          <w:rFonts w:ascii="Arial"/>
          <w:color w:val="231F20"/>
          <w:w w:val="95"/>
          <w:sz w:val="12"/>
        </w:rPr>
        <w:t>See Voting Instruction On Reverse Side.</w:t>
      </w:r>
    </w:p>
    <w:p>
      <w:pPr>
        <w:spacing w:line="157" w:lineRule="exact" w:before="0"/>
        <w:ind w:left="153" w:right="0" w:firstLine="0"/>
        <w:jc w:val="left"/>
        <w:rPr>
          <w:rFonts w:ascii="Arial"/>
          <w:b/>
          <w:sz w:val="9"/>
        </w:rPr>
      </w:pPr>
      <w:r>
        <w:rPr>
          <w:rFonts w:ascii="Arial"/>
          <w:b/>
          <w:color w:val="231F20"/>
          <w:w w:val="110"/>
          <w:sz w:val="9"/>
        </w:rPr>
        <w:t>Please make your marks like this: </w:t>
      </w:r>
      <w:r>
        <w:rPr>
          <w:rFonts w:ascii="Arial"/>
          <w:color w:val="231F20"/>
          <w:w w:val="165"/>
          <w:sz w:val="15"/>
        </w:rPr>
        <w:t>_ </w:t>
      </w:r>
      <w:r>
        <w:rPr>
          <w:rFonts w:ascii="Arial"/>
          <w:b/>
          <w:color w:val="231F20"/>
          <w:w w:val="110"/>
          <w:sz w:val="9"/>
        </w:rPr>
        <w:t>Use pen only</w:t>
      </w:r>
    </w:p>
    <w:p>
      <w:pPr>
        <w:spacing w:line="261" w:lineRule="auto" w:before="79"/>
        <w:ind w:left="824" w:right="1804" w:hanging="672"/>
        <w:jc w:val="left"/>
        <w:rPr>
          <w:rFonts w:ascii="Arial"/>
          <w:b/>
          <w:sz w:val="18"/>
        </w:rPr>
      </w:pPr>
      <w:r>
        <w:rPr/>
        <w:br w:type="column"/>
      </w:r>
      <w:r>
        <w:rPr>
          <w:rFonts w:ascii="Arial"/>
          <w:b/>
          <w:color w:val="231F20"/>
          <w:sz w:val="18"/>
        </w:rPr>
        <w:t>Annual General Shareholders Meeting SHL Telemedicine Ltd.</w:t>
      </w:r>
    </w:p>
    <w:p>
      <w:pPr>
        <w:spacing w:line="261" w:lineRule="auto" w:before="0"/>
        <w:ind w:left="341" w:right="2006" w:firstLine="274"/>
        <w:jc w:val="left"/>
        <w:rPr>
          <w:rFonts w:ascii="Arial"/>
          <w:b/>
          <w:sz w:val="18"/>
        </w:rPr>
      </w:pPr>
      <w:r>
        <w:rPr>
          <w:rFonts w:ascii="Arial"/>
          <w:b/>
          <w:color w:val="231F20"/>
          <w:sz w:val="18"/>
        </w:rPr>
        <w:t>to be held February 8, 2024 </w:t>
      </w:r>
      <w:r>
        <w:rPr>
          <w:rFonts w:ascii="Arial"/>
          <w:b/>
          <w:color w:val="231F20"/>
          <w:spacing w:val="-3"/>
          <w:sz w:val="18"/>
        </w:rPr>
        <w:t>For </w:t>
      </w:r>
      <w:r>
        <w:rPr>
          <w:rFonts w:ascii="Arial"/>
          <w:b/>
          <w:color w:val="231F20"/>
          <w:sz w:val="18"/>
        </w:rPr>
        <w:t>Holders as of January 4,</w:t>
      </w:r>
      <w:r>
        <w:rPr>
          <w:rFonts w:ascii="Arial"/>
          <w:b/>
          <w:color w:val="231F20"/>
          <w:spacing w:val="27"/>
          <w:sz w:val="18"/>
        </w:rPr>
        <w:t> </w:t>
      </w:r>
      <w:r>
        <w:rPr>
          <w:rFonts w:ascii="Arial"/>
          <w:b/>
          <w:color w:val="231F20"/>
          <w:spacing w:val="-4"/>
          <w:sz w:val="18"/>
        </w:rPr>
        <w:t>2024</w:t>
      </w:r>
    </w:p>
    <w:p>
      <w:pPr>
        <w:spacing w:after="0" w:line="261" w:lineRule="auto"/>
        <w:jc w:val="left"/>
        <w:rPr>
          <w:rFonts w:ascii="Arial"/>
          <w:sz w:val="18"/>
        </w:rPr>
        <w:sectPr>
          <w:type w:val="continuous"/>
          <w:pgSz w:w="11880" w:h="15480"/>
          <w:pgMar w:top="700" w:bottom="280" w:left="300" w:right="0"/>
          <w:cols w:num="2" w:equalWidth="0">
            <w:col w:w="3389" w:space="2954"/>
            <w:col w:w="5237"/>
          </w:cols>
        </w:sectPr>
      </w:pPr>
    </w:p>
    <w:p>
      <w:pPr>
        <w:pStyle w:val="BodyText"/>
        <w:spacing w:before="7"/>
        <w:rPr>
          <w:rFonts w:ascii="Arial"/>
          <w:b/>
          <w:sz w:val="13"/>
        </w:rPr>
      </w:pPr>
    </w:p>
    <w:p>
      <w:pPr>
        <w:spacing w:before="0"/>
        <w:ind w:left="153" w:right="0" w:firstLine="0"/>
        <w:jc w:val="left"/>
        <w:rPr>
          <w:rFonts w:ascii="Arial"/>
          <w:b/>
          <w:sz w:val="10"/>
        </w:rPr>
      </w:pPr>
      <w:r>
        <w:rPr>
          <w:rFonts w:ascii="Arial"/>
          <w:b/>
          <w:color w:val="231F20"/>
          <w:w w:val="95"/>
          <w:sz w:val="10"/>
          <w:u w:val="single" w:color="231F20"/>
        </w:rPr>
        <w:t>Agenda</w:t>
      </w:r>
      <w:r>
        <w:rPr>
          <w:rFonts w:ascii="Arial"/>
          <w:b/>
          <w:color w:val="231F20"/>
          <w:w w:val="95"/>
          <w:sz w:val="10"/>
        </w:rPr>
        <w:t>:</w:t>
      </w:r>
    </w:p>
    <w:p>
      <w:pPr>
        <w:spacing w:line="249" w:lineRule="auto" w:before="72"/>
        <w:ind w:left="378" w:right="0" w:hanging="225"/>
        <w:jc w:val="both"/>
        <w:rPr>
          <w:rFonts w:ascii="Arial" w:hAnsi="Arial"/>
          <w:sz w:val="10"/>
        </w:rPr>
      </w:pPr>
      <w:r>
        <w:rPr>
          <w:rFonts w:ascii="Arial" w:hAnsi="Arial"/>
          <w:color w:val="231F20"/>
          <w:w w:val="95"/>
          <w:sz w:val="10"/>
        </w:rPr>
        <w:t>1.</w:t>
      </w:r>
      <w:r>
        <w:rPr>
          <w:rFonts w:ascii="Arial" w:hAnsi="Arial"/>
          <w:color w:val="231F20"/>
          <w:spacing w:val="23"/>
          <w:w w:val="95"/>
          <w:sz w:val="10"/>
        </w:rPr>
        <w:t> </w:t>
      </w:r>
      <w:r>
        <w:rPr>
          <w:rFonts w:ascii="Arial" w:hAnsi="Arial"/>
          <w:color w:val="231F20"/>
          <w:w w:val="95"/>
          <w:sz w:val="10"/>
        </w:rPr>
        <w:t>To</w:t>
      </w:r>
      <w:r>
        <w:rPr>
          <w:rFonts w:ascii="Arial" w:hAnsi="Arial"/>
          <w:color w:val="231F20"/>
          <w:spacing w:val="-9"/>
          <w:w w:val="95"/>
          <w:sz w:val="10"/>
        </w:rPr>
        <w:t> </w:t>
      </w:r>
      <w:r>
        <w:rPr>
          <w:rFonts w:ascii="Arial" w:hAnsi="Arial"/>
          <w:color w:val="231F20"/>
          <w:w w:val="95"/>
          <w:sz w:val="10"/>
        </w:rPr>
        <w:t>amend</w:t>
      </w:r>
      <w:r>
        <w:rPr>
          <w:rFonts w:ascii="Arial" w:hAnsi="Arial"/>
          <w:color w:val="231F20"/>
          <w:spacing w:val="-8"/>
          <w:w w:val="95"/>
          <w:sz w:val="10"/>
        </w:rPr>
        <w:t> </w:t>
      </w:r>
      <w:r>
        <w:rPr>
          <w:rFonts w:ascii="Arial" w:hAnsi="Arial"/>
          <w:color w:val="231F20"/>
          <w:w w:val="95"/>
          <w:sz w:val="10"/>
        </w:rPr>
        <w:t>the</w:t>
      </w:r>
      <w:r>
        <w:rPr>
          <w:rFonts w:ascii="Arial" w:hAnsi="Arial"/>
          <w:color w:val="231F20"/>
          <w:spacing w:val="-9"/>
          <w:w w:val="95"/>
          <w:sz w:val="10"/>
        </w:rPr>
        <w:t> </w:t>
      </w:r>
      <w:r>
        <w:rPr>
          <w:rFonts w:ascii="Arial" w:hAnsi="Arial"/>
          <w:color w:val="231F20"/>
          <w:w w:val="95"/>
          <w:sz w:val="10"/>
        </w:rPr>
        <w:t>Company’s</w:t>
      </w:r>
      <w:r>
        <w:rPr>
          <w:rFonts w:ascii="Arial" w:hAnsi="Arial"/>
          <w:color w:val="231F20"/>
          <w:spacing w:val="-8"/>
          <w:w w:val="95"/>
          <w:sz w:val="10"/>
        </w:rPr>
        <w:t> </w:t>
      </w:r>
      <w:r>
        <w:rPr>
          <w:rFonts w:ascii="Arial" w:hAnsi="Arial"/>
          <w:color w:val="231F20"/>
          <w:w w:val="95"/>
          <w:sz w:val="10"/>
        </w:rPr>
        <w:t>Articles</w:t>
      </w:r>
      <w:r>
        <w:rPr>
          <w:rFonts w:ascii="Arial" w:hAnsi="Arial"/>
          <w:color w:val="231F20"/>
          <w:spacing w:val="-9"/>
          <w:w w:val="95"/>
          <w:sz w:val="10"/>
        </w:rPr>
        <w:t> </w:t>
      </w:r>
      <w:r>
        <w:rPr>
          <w:rFonts w:ascii="Arial" w:hAnsi="Arial"/>
          <w:color w:val="231F20"/>
          <w:w w:val="95"/>
          <w:sz w:val="10"/>
        </w:rPr>
        <w:t>of</w:t>
      </w:r>
      <w:r>
        <w:rPr>
          <w:rFonts w:ascii="Arial" w:hAnsi="Arial"/>
          <w:color w:val="231F20"/>
          <w:spacing w:val="-9"/>
          <w:w w:val="95"/>
          <w:sz w:val="10"/>
        </w:rPr>
        <w:t> </w:t>
      </w:r>
      <w:r>
        <w:rPr>
          <w:rFonts w:ascii="Arial" w:hAnsi="Arial"/>
          <w:color w:val="231F20"/>
          <w:w w:val="95"/>
          <w:sz w:val="10"/>
        </w:rPr>
        <w:t>Association</w:t>
      </w:r>
      <w:r>
        <w:rPr>
          <w:rFonts w:ascii="Arial" w:hAnsi="Arial"/>
          <w:color w:val="231F20"/>
          <w:spacing w:val="-8"/>
          <w:w w:val="95"/>
          <w:sz w:val="10"/>
        </w:rPr>
        <w:t> </w:t>
      </w:r>
      <w:r>
        <w:rPr>
          <w:rFonts w:ascii="Arial" w:hAnsi="Arial"/>
          <w:color w:val="231F20"/>
          <w:w w:val="95"/>
          <w:sz w:val="10"/>
        </w:rPr>
        <w:t>to</w:t>
      </w:r>
      <w:r>
        <w:rPr>
          <w:rFonts w:ascii="Arial" w:hAnsi="Arial"/>
          <w:color w:val="231F20"/>
          <w:spacing w:val="-9"/>
          <w:w w:val="95"/>
          <w:sz w:val="10"/>
        </w:rPr>
        <w:t> </w:t>
      </w:r>
      <w:r>
        <w:rPr>
          <w:rFonts w:ascii="Arial" w:hAnsi="Arial"/>
          <w:color w:val="231F20"/>
          <w:w w:val="95"/>
          <w:sz w:val="10"/>
        </w:rPr>
        <w:t>increase</w:t>
      </w:r>
      <w:r>
        <w:rPr>
          <w:rFonts w:ascii="Arial" w:hAnsi="Arial"/>
          <w:color w:val="231F20"/>
          <w:spacing w:val="-8"/>
          <w:w w:val="95"/>
          <w:sz w:val="10"/>
        </w:rPr>
        <w:t> </w:t>
      </w:r>
      <w:r>
        <w:rPr>
          <w:rFonts w:ascii="Arial" w:hAnsi="Arial"/>
          <w:color w:val="231F20"/>
          <w:w w:val="95"/>
          <w:sz w:val="10"/>
        </w:rPr>
        <w:t>the</w:t>
      </w:r>
      <w:r>
        <w:rPr>
          <w:rFonts w:ascii="Arial" w:hAnsi="Arial"/>
          <w:color w:val="231F20"/>
          <w:spacing w:val="-9"/>
          <w:w w:val="95"/>
          <w:sz w:val="10"/>
        </w:rPr>
        <w:t> </w:t>
      </w:r>
      <w:r>
        <w:rPr>
          <w:rFonts w:ascii="Arial" w:hAnsi="Arial"/>
          <w:color w:val="231F20"/>
          <w:w w:val="95"/>
          <w:sz w:val="10"/>
        </w:rPr>
        <w:t>maximum number</w:t>
      </w:r>
      <w:r>
        <w:rPr>
          <w:rFonts w:ascii="Arial" w:hAnsi="Arial"/>
          <w:color w:val="231F20"/>
          <w:spacing w:val="-17"/>
          <w:w w:val="95"/>
          <w:sz w:val="10"/>
        </w:rPr>
        <w:t> </w:t>
      </w:r>
      <w:r>
        <w:rPr>
          <w:rFonts w:ascii="Arial" w:hAnsi="Arial"/>
          <w:color w:val="231F20"/>
          <w:w w:val="95"/>
          <w:sz w:val="10"/>
        </w:rPr>
        <w:t>of</w:t>
      </w:r>
      <w:r>
        <w:rPr>
          <w:rFonts w:ascii="Arial" w:hAnsi="Arial"/>
          <w:color w:val="231F20"/>
          <w:spacing w:val="-17"/>
          <w:w w:val="95"/>
          <w:sz w:val="10"/>
        </w:rPr>
        <w:t> </w:t>
      </w:r>
      <w:r>
        <w:rPr>
          <w:rFonts w:ascii="Arial" w:hAnsi="Arial"/>
          <w:color w:val="231F20"/>
          <w:w w:val="95"/>
          <w:sz w:val="10"/>
        </w:rPr>
        <w:t>directors</w:t>
      </w:r>
      <w:r>
        <w:rPr>
          <w:rFonts w:ascii="Arial" w:hAnsi="Arial"/>
          <w:color w:val="231F20"/>
          <w:spacing w:val="-17"/>
          <w:w w:val="95"/>
          <w:sz w:val="10"/>
        </w:rPr>
        <w:t> </w:t>
      </w:r>
      <w:r>
        <w:rPr>
          <w:rFonts w:ascii="Arial" w:hAnsi="Arial"/>
          <w:color w:val="231F20"/>
          <w:w w:val="95"/>
          <w:sz w:val="10"/>
        </w:rPr>
        <w:t>who</w:t>
      </w:r>
      <w:r>
        <w:rPr>
          <w:rFonts w:ascii="Arial" w:hAnsi="Arial"/>
          <w:color w:val="231F20"/>
          <w:spacing w:val="-16"/>
          <w:w w:val="95"/>
          <w:sz w:val="10"/>
        </w:rPr>
        <w:t> </w:t>
      </w:r>
      <w:r>
        <w:rPr>
          <w:rFonts w:ascii="Arial" w:hAnsi="Arial"/>
          <w:color w:val="231F20"/>
          <w:w w:val="95"/>
          <w:sz w:val="10"/>
        </w:rPr>
        <w:t>can</w:t>
      </w:r>
      <w:r>
        <w:rPr>
          <w:rFonts w:ascii="Arial" w:hAnsi="Arial"/>
          <w:color w:val="231F20"/>
          <w:spacing w:val="-17"/>
          <w:w w:val="95"/>
          <w:sz w:val="10"/>
        </w:rPr>
        <w:t> </w:t>
      </w:r>
      <w:r>
        <w:rPr>
          <w:rFonts w:ascii="Arial" w:hAnsi="Arial"/>
          <w:color w:val="231F20"/>
          <w:w w:val="95"/>
          <w:sz w:val="10"/>
        </w:rPr>
        <w:t>serve</w:t>
      </w:r>
      <w:r>
        <w:rPr>
          <w:rFonts w:ascii="Arial" w:hAnsi="Arial"/>
          <w:color w:val="231F20"/>
          <w:spacing w:val="-17"/>
          <w:w w:val="95"/>
          <w:sz w:val="10"/>
        </w:rPr>
        <w:t> </w:t>
      </w:r>
      <w:r>
        <w:rPr>
          <w:rFonts w:ascii="Arial" w:hAnsi="Arial"/>
          <w:color w:val="231F20"/>
          <w:w w:val="95"/>
          <w:sz w:val="10"/>
        </w:rPr>
        <w:t>on</w:t>
      </w:r>
      <w:r>
        <w:rPr>
          <w:rFonts w:ascii="Arial" w:hAnsi="Arial"/>
          <w:color w:val="231F20"/>
          <w:spacing w:val="-17"/>
          <w:w w:val="95"/>
          <w:sz w:val="10"/>
        </w:rPr>
        <w:t> </w:t>
      </w:r>
      <w:r>
        <w:rPr>
          <w:rFonts w:ascii="Arial" w:hAnsi="Arial"/>
          <w:color w:val="231F20"/>
          <w:w w:val="95"/>
          <w:sz w:val="10"/>
        </w:rPr>
        <w:t>the</w:t>
      </w:r>
      <w:r>
        <w:rPr>
          <w:rFonts w:ascii="Arial" w:hAnsi="Arial"/>
          <w:color w:val="231F20"/>
          <w:spacing w:val="-16"/>
          <w:w w:val="95"/>
          <w:sz w:val="10"/>
        </w:rPr>
        <w:t> </w:t>
      </w:r>
      <w:r>
        <w:rPr>
          <w:rFonts w:ascii="Arial" w:hAnsi="Arial"/>
          <w:color w:val="231F20"/>
          <w:w w:val="95"/>
          <w:sz w:val="10"/>
        </w:rPr>
        <w:t>Board</w:t>
      </w:r>
      <w:r>
        <w:rPr>
          <w:rFonts w:ascii="Arial" w:hAnsi="Arial"/>
          <w:color w:val="231F20"/>
          <w:spacing w:val="-17"/>
          <w:w w:val="95"/>
          <w:sz w:val="10"/>
        </w:rPr>
        <w:t> </w:t>
      </w:r>
      <w:r>
        <w:rPr>
          <w:rFonts w:ascii="Arial" w:hAnsi="Arial"/>
          <w:color w:val="231F20"/>
          <w:w w:val="95"/>
          <w:sz w:val="10"/>
        </w:rPr>
        <w:t>at</w:t>
      </w:r>
      <w:r>
        <w:rPr>
          <w:rFonts w:ascii="Arial" w:hAnsi="Arial"/>
          <w:color w:val="231F20"/>
          <w:spacing w:val="-17"/>
          <w:w w:val="95"/>
          <w:sz w:val="10"/>
        </w:rPr>
        <w:t> </w:t>
      </w:r>
      <w:r>
        <w:rPr>
          <w:rFonts w:ascii="Arial" w:hAnsi="Arial"/>
          <w:color w:val="231F20"/>
          <w:w w:val="95"/>
          <w:sz w:val="10"/>
        </w:rPr>
        <w:t>any</w:t>
      </w:r>
      <w:r>
        <w:rPr>
          <w:rFonts w:ascii="Arial" w:hAnsi="Arial"/>
          <w:color w:val="231F20"/>
          <w:spacing w:val="-17"/>
          <w:w w:val="95"/>
          <w:sz w:val="10"/>
        </w:rPr>
        <w:t> </w:t>
      </w:r>
      <w:r>
        <w:rPr>
          <w:rFonts w:ascii="Arial" w:hAnsi="Arial"/>
          <w:color w:val="231F20"/>
          <w:w w:val="95"/>
          <w:sz w:val="10"/>
        </w:rPr>
        <w:t>one</w:t>
      </w:r>
      <w:r>
        <w:rPr>
          <w:rFonts w:ascii="Arial" w:hAnsi="Arial"/>
          <w:color w:val="231F20"/>
          <w:spacing w:val="-16"/>
          <w:w w:val="95"/>
          <w:sz w:val="10"/>
        </w:rPr>
        <w:t> </w:t>
      </w:r>
      <w:r>
        <w:rPr>
          <w:rFonts w:ascii="Arial" w:hAnsi="Arial"/>
          <w:color w:val="231F20"/>
          <w:w w:val="95"/>
          <w:sz w:val="10"/>
        </w:rPr>
        <w:t>time</w:t>
      </w:r>
      <w:r>
        <w:rPr>
          <w:rFonts w:ascii="Arial" w:hAnsi="Arial"/>
          <w:color w:val="231F20"/>
          <w:spacing w:val="-17"/>
          <w:w w:val="95"/>
          <w:sz w:val="10"/>
        </w:rPr>
        <w:t> </w:t>
      </w:r>
      <w:r>
        <w:rPr>
          <w:rFonts w:ascii="Arial" w:hAnsi="Arial"/>
          <w:color w:val="231F20"/>
          <w:w w:val="95"/>
          <w:sz w:val="10"/>
        </w:rPr>
        <w:t>from</w:t>
      </w:r>
      <w:r>
        <w:rPr>
          <w:rFonts w:ascii="Arial" w:hAnsi="Arial"/>
          <w:color w:val="231F20"/>
          <w:spacing w:val="-17"/>
          <w:w w:val="95"/>
          <w:sz w:val="10"/>
        </w:rPr>
        <w:t> </w:t>
      </w:r>
      <w:r>
        <w:rPr>
          <w:rFonts w:ascii="Arial" w:hAnsi="Arial"/>
          <w:color w:val="231F20"/>
          <w:w w:val="95"/>
          <w:sz w:val="10"/>
        </w:rPr>
        <w:t>nine</w:t>
      </w:r>
      <w:r>
        <w:rPr>
          <w:rFonts w:ascii="Arial" w:hAnsi="Arial"/>
          <w:color w:val="231F20"/>
          <w:spacing w:val="-17"/>
          <w:w w:val="95"/>
          <w:sz w:val="10"/>
        </w:rPr>
        <w:t> </w:t>
      </w:r>
      <w:r>
        <w:rPr>
          <w:rFonts w:ascii="Arial" w:hAnsi="Arial"/>
          <w:color w:val="231F20"/>
          <w:w w:val="95"/>
          <w:sz w:val="10"/>
        </w:rPr>
        <w:t>to ten.</w:t>
      </w:r>
    </w:p>
    <w:p>
      <w:pPr>
        <w:spacing w:line="249" w:lineRule="auto" w:before="69"/>
        <w:ind w:left="378" w:right="-14" w:hanging="225"/>
        <w:jc w:val="left"/>
        <w:rPr>
          <w:rFonts w:ascii="Arial"/>
          <w:sz w:val="10"/>
        </w:rPr>
      </w:pPr>
      <w:r>
        <w:rPr>
          <w:rFonts w:ascii="Arial"/>
          <w:color w:val="231F20"/>
          <w:w w:val="95"/>
          <w:sz w:val="10"/>
        </w:rPr>
        <w:t>2(a).</w:t>
      </w:r>
      <w:r>
        <w:rPr>
          <w:rFonts w:ascii="Arial"/>
          <w:color w:val="231F20"/>
          <w:spacing w:val="-1"/>
          <w:w w:val="95"/>
          <w:sz w:val="10"/>
        </w:rPr>
        <w:t> </w:t>
      </w:r>
      <w:r>
        <w:rPr>
          <w:rFonts w:ascii="Arial"/>
          <w:color w:val="231F20"/>
          <w:w w:val="95"/>
          <w:sz w:val="10"/>
        </w:rPr>
        <w:t>To</w:t>
      </w:r>
      <w:r>
        <w:rPr>
          <w:rFonts w:ascii="Arial"/>
          <w:color w:val="231F20"/>
          <w:spacing w:val="-11"/>
          <w:w w:val="95"/>
          <w:sz w:val="10"/>
        </w:rPr>
        <w:t> </w:t>
      </w:r>
      <w:r>
        <w:rPr>
          <w:rFonts w:ascii="Arial"/>
          <w:color w:val="231F20"/>
          <w:w w:val="95"/>
          <w:sz w:val="10"/>
        </w:rPr>
        <w:t>approve</w:t>
      </w:r>
      <w:r>
        <w:rPr>
          <w:rFonts w:ascii="Arial"/>
          <w:color w:val="231F20"/>
          <w:spacing w:val="-10"/>
          <w:w w:val="95"/>
          <w:sz w:val="10"/>
        </w:rPr>
        <w:t> </w:t>
      </w:r>
      <w:r>
        <w:rPr>
          <w:rFonts w:ascii="Arial"/>
          <w:color w:val="231F20"/>
          <w:w w:val="95"/>
          <w:sz w:val="10"/>
        </w:rPr>
        <w:t>the</w:t>
      </w:r>
      <w:r>
        <w:rPr>
          <w:rFonts w:ascii="Arial"/>
          <w:color w:val="231F20"/>
          <w:spacing w:val="-11"/>
          <w:w w:val="95"/>
          <w:sz w:val="10"/>
        </w:rPr>
        <w:t> </w:t>
      </w:r>
      <w:r>
        <w:rPr>
          <w:rFonts w:ascii="Arial"/>
          <w:color w:val="231F20"/>
          <w:w w:val="95"/>
          <w:sz w:val="10"/>
        </w:rPr>
        <w:t>reelection</w:t>
      </w:r>
      <w:r>
        <w:rPr>
          <w:rFonts w:ascii="Arial"/>
          <w:color w:val="231F20"/>
          <w:spacing w:val="-10"/>
          <w:w w:val="95"/>
          <w:sz w:val="10"/>
        </w:rPr>
        <w:t> </w:t>
      </w:r>
      <w:r>
        <w:rPr>
          <w:rFonts w:ascii="Arial"/>
          <w:color w:val="231F20"/>
          <w:w w:val="95"/>
          <w:sz w:val="10"/>
        </w:rPr>
        <w:t>of</w:t>
      </w:r>
      <w:r>
        <w:rPr>
          <w:rFonts w:ascii="Arial"/>
          <w:color w:val="231F20"/>
          <w:spacing w:val="-11"/>
          <w:w w:val="95"/>
          <w:sz w:val="10"/>
        </w:rPr>
        <w:t> </w:t>
      </w:r>
      <w:r>
        <w:rPr>
          <w:rFonts w:ascii="Arial"/>
          <w:color w:val="231F20"/>
          <w:w w:val="95"/>
          <w:sz w:val="10"/>
        </w:rPr>
        <w:t>Mr.</w:t>
      </w:r>
      <w:r>
        <w:rPr>
          <w:rFonts w:ascii="Arial"/>
          <w:color w:val="231F20"/>
          <w:spacing w:val="-10"/>
          <w:w w:val="95"/>
          <w:sz w:val="10"/>
        </w:rPr>
        <w:t> </w:t>
      </w:r>
      <w:r>
        <w:rPr>
          <w:rFonts w:ascii="Arial"/>
          <w:color w:val="231F20"/>
          <w:w w:val="95"/>
          <w:sz w:val="10"/>
        </w:rPr>
        <w:t>Yariv</w:t>
      </w:r>
      <w:r>
        <w:rPr>
          <w:rFonts w:ascii="Arial"/>
          <w:color w:val="231F20"/>
          <w:spacing w:val="-11"/>
          <w:w w:val="95"/>
          <w:sz w:val="10"/>
        </w:rPr>
        <w:t> </w:t>
      </w:r>
      <w:r>
        <w:rPr>
          <w:rFonts w:ascii="Arial"/>
          <w:color w:val="231F20"/>
          <w:w w:val="95"/>
          <w:sz w:val="10"/>
        </w:rPr>
        <w:t>Alroy</w:t>
      </w:r>
      <w:r>
        <w:rPr>
          <w:rFonts w:ascii="Arial"/>
          <w:color w:val="231F20"/>
          <w:spacing w:val="-10"/>
          <w:w w:val="95"/>
          <w:sz w:val="10"/>
        </w:rPr>
        <w:t> </w:t>
      </w:r>
      <w:r>
        <w:rPr>
          <w:rFonts w:ascii="Arial"/>
          <w:color w:val="231F20"/>
          <w:w w:val="95"/>
          <w:sz w:val="10"/>
        </w:rPr>
        <w:t>as</w:t>
      </w:r>
      <w:r>
        <w:rPr>
          <w:rFonts w:ascii="Arial"/>
          <w:color w:val="231F20"/>
          <w:spacing w:val="-11"/>
          <w:w w:val="95"/>
          <w:sz w:val="10"/>
        </w:rPr>
        <w:t> </w:t>
      </w:r>
      <w:r>
        <w:rPr>
          <w:rFonts w:ascii="Arial"/>
          <w:color w:val="231F20"/>
          <w:w w:val="95"/>
          <w:sz w:val="10"/>
        </w:rPr>
        <w:t>a</w:t>
      </w:r>
      <w:r>
        <w:rPr>
          <w:rFonts w:ascii="Arial"/>
          <w:color w:val="231F20"/>
          <w:spacing w:val="-10"/>
          <w:w w:val="95"/>
          <w:sz w:val="10"/>
        </w:rPr>
        <w:t> </w:t>
      </w:r>
      <w:r>
        <w:rPr>
          <w:rFonts w:ascii="Arial"/>
          <w:color w:val="231F20"/>
          <w:w w:val="95"/>
          <w:sz w:val="10"/>
        </w:rPr>
        <w:t>director,</w:t>
      </w:r>
      <w:r>
        <w:rPr>
          <w:rFonts w:ascii="Arial"/>
          <w:color w:val="231F20"/>
          <w:spacing w:val="-11"/>
          <w:w w:val="95"/>
          <w:sz w:val="10"/>
        </w:rPr>
        <w:t> </w:t>
      </w:r>
      <w:r>
        <w:rPr>
          <w:rFonts w:ascii="Arial"/>
          <w:color w:val="231F20"/>
          <w:w w:val="95"/>
          <w:sz w:val="10"/>
        </w:rPr>
        <w:t>to</w:t>
      </w:r>
      <w:r>
        <w:rPr>
          <w:rFonts w:ascii="Arial"/>
          <w:color w:val="231F20"/>
          <w:spacing w:val="-10"/>
          <w:w w:val="95"/>
          <w:sz w:val="10"/>
        </w:rPr>
        <w:t> </w:t>
      </w:r>
      <w:r>
        <w:rPr>
          <w:rFonts w:ascii="Arial"/>
          <w:color w:val="231F20"/>
          <w:w w:val="95"/>
          <w:sz w:val="10"/>
        </w:rPr>
        <w:t>serve</w:t>
      </w:r>
      <w:r>
        <w:rPr>
          <w:rFonts w:ascii="Arial"/>
          <w:color w:val="231F20"/>
          <w:spacing w:val="-11"/>
          <w:w w:val="95"/>
          <w:sz w:val="10"/>
        </w:rPr>
        <w:t> </w:t>
      </w:r>
      <w:r>
        <w:rPr>
          <w:rFonts w:ascii="Arial"/>
          <w:color w:val="231F20"/>
          <w:w w:val="95"/>
          <w:sz w:val="10"/>
        </w:rPr>
        <w:t>until</w:t>
      </w:r>
      <w:r>
        <w:rPr>
          <w:rFonts w:ascii="Arial"/>
          <w:color w:val="231F20"/>
          <w:spacing w:val="-10"/>
          <w:w w:val="95"/>
          <w:sz w:val="10"/>
        </w:rPr>
        <w:t> </w:t>
      </w:r>
      <w:r>
        <w:rPr>
          <w:rFonts w:ascii="Arial"/>
          <w:color w:val="231F20"/>
          <w:w w:val="95"/>
          <w:sz w:val="10"/>
        </w:rPr>
        <w:t>the next annual meeting of</w:t>
      </w:r>
      <w:r>
        <w:rPr>
          <w:rFonts w:ascii="Arial"/>
          <w:color w:val="231F20"/>
          <w:spacing w:val="-7"/>
          <w:w w:val="95"/>
          <w:sz w:val="10"/>
        </w:rPr>
        <w:t> </w:t>
      </w:r>
      <w:r>
        <w:rPr>
          <w:rFonts w:ascii="Arial"/>
          <w:color w:val="231F20"/>
          <w:w w:val="95"/>
          <w:sz w:val="10"/>
        </w:rPr>
        <w:t>shareholders;</w:t>
      </w:r>
    </w:p>
    <w:p>
      <w:pPr>
        <w:spacing w:line="249" w:lineRule="auto" w:before="68"/>
        <w:ind w:left="378" w:right="-11" w:hanging="225"/>
        <w:jc w:val="left"/>
        <w:rPr>
          <w:rFonts w:ascii="Arial"/>
          <w:sz w:val="10"/>
        </w:rPr>
      </w:pPr>
      <w:r>
        <w:rPr>
          <w:rFonts w:ascii="Arial"/>
          <w:color w:val="231F20"/>
          <w:w w:val="95"/>
          <w:sz w:val="10"/>
        </w:rPr>
        <w:t>2(b).</w:t>
      </w:r>
      <w:r>
        <w:rPr>
          <w:rFonts w:ascii="Arial"/>
          <w:color w:val="231F20"/>
          <w:spacing w:val="-3"/>
          <w:w w:val="95"/>
          <w:sz w:val="10"/>
        </w:rPr>
        <w:t> </w:t>
      </w:r>
      <w:r>
        <w:rPr>
          <w:rFonts w:ascii="Arial"/>
          <w:color w:val="231F20"/>
          <w:w w:val="95"/>
          <w:sz w:val="10"/>
        </w:rPr>
        <w:t>To</w:t>
      </w:r>
      <w:r>
        <w:rPr>
          <w:rFonts w:ascii="Arial"/>
          <w:color w:val="231F20"/>
          <w:spacing w:val="-12"/>
          <w:w w:val="95"/>
          <w:sz w:val="10"/>
        </w:rPr>
        <w:t> </w:t>
      </w:r>
      <w:r>
        <w:rPr>
          <w:rFonts w:ascii="Arial"/>
          <w:color w:val="231F20"/>
          <w:w w:val="95"/>
          <w:sz w:val="10"/>
        </w:rPr>
        <w:t>approve</w:t>
      </w:r>
      <w:r>
        <w:rPr>
          <w:rFonts w:ascii="Arial"/>
          <w:color w:val="231F20"/>
          <w:spacing w:val="-12"/>
          <w:w w:val="95"/>
          <w:sz w:val="10"/>
        </w:rPr>
        <w:t> </w:t>
      </w:r>
      <w:r>
        <w:rPr>
          <w:rFonts w:ascii="Arial"/>
          <w:color w:val="231F20"/>
          <w:w w:val="95"/>
          <w:sz w:val="10"/>
        </w:rPr>
        <w:t>the</w:t>
      </w:r>
      <w:r>
        <w:rPr>
          <w:rFonts w:ascii="Arial"/>
          <w:color w:val="231F20"/>
          <w:spacing w:val="-12"/>
          <w:w w:val="95"/>
          <w:sz w:val="10"/>
        </w:rPr>
        <w:t> </w:t>
      </w:r>
      <w:r>
        <w:rPr>
          <w:rFonts w:ascii="Arial"/>
          <w:color w:val="231F20"/>
          <w:w w:val="95"/>
          <w:sz w:val="10"/>
        </w:rPr>
        <w:t>reelection</w:t>
      </w:r>
      <w:r>
        <w:rPr>
          <w:rFonts w:ascii="Arial"/>
          <w:color w:val="231F20"/>
          <w:spacing w:val="-12"/>
          <w:w w:val="95"/>
          <w:sz w:val="10"/>
        </w:rPr>
        <w:t> </w:t>
      </w:r>
      <w:r>
        <w:rPr>
          <w:rFonts w:ascii="Arial"/>
          <w:color w:val="231F20"/>
          <w:w w:val="95"/>
          <w:sz w:val="10"/>
        </w:rPr>
        <w:t>of</w:t>
      </w:r>
      <w:r>
        <w:rPr>
          <w:rFonts w:ascii="Arial"/>
          <w:color w:val="231F20"/>
          <w:spacing w:val="-12"/>
          <w:w w:val="95"/>
          <w:sz w:val="10"/>
        </w:rPr>
        <w:t> </w:t>
      </w:r>
      <w:r>
        <w:rPr>
          <w:rFonts w:ascii="Arial"/>
          <w:color w:val="231F20"/>
          <w:w w:val="95"/>
          <w:sz w:val="10"/>
        </w:rPr>
        <w:t>Mr.</w:t>
      </w:r>
      <w:r>
        <w:rPr>
          <w:rFonts w:ascii="Arial"/>
          <w:color w:val="231F20"/>
          <w:spacing w:val="-12"/>
          <w:w w:val="95"/>
          <w:sz w:val="10"/>
        </w:rPr>
        <w:t> </w:t>
      </w:r>
      <w:r>
        <w:rPr>
          <w:rFonts w:ascii="Arial"/>
          <w:color w:val="231F20"/>
          <w:w w:val="95"/>
          <w:sz w:val="10"/>
        </w:rPr>
        <w:t>Ehud</w:t>
      </w:r>
      <w:r>
        <w:rPr>
          <w:rFonts w:ascii="Arial"/>
          <w:color w:val="231F20"/>
          <w:spacing w:val="-12"/>
          <w:w w:val="95"/>
          <w:sz w:val="10"/>
        </w:rPr>
        <w:t> </w:t>
      </w:r>
      <w:r>
        <w:rPr>
          <w:rFonts w:ascii="Arial"/>
          <w:color w:val="231F20"/>
          <w:w w:val="95"/>
          <w:sz w:val="10"/>
        </w:rPr>
        <w:t>Barak</w:t>
      </w:r>
      <w:r>
        <w:rPr>
          <w:rFonts w:ascii="Arial"/>
          <w:color w:val="231F20"/>
          <w:spacing w:val="-12"/>
          <w:w w:val="95"/>
          <w:sz w:val="10"/>
        </w:rPr>
        <w:t> </w:t>
      </w:r>
      <w:r>
        <w:rPr>
          <w:rFonts w:ascii="Arial"/>
          <w:color w:val="231F20"/>
          <w:w w:val="95"/>
          <w:sz w:val="10"/>
        </w:rPr>
        <w:t>as</w:t>
      </w:r>
      <w:r>
        <w:rPr>
          <w:rFonts w:ascii="Arial"/>
          <w:color w:val="231F20"/>
          <w:spacing w:val="-12"/>
          <w:w w:val="95"/>
          <w:sz w:val="10"/>
        </w:rPr>
        <w:t> </w:t>
      </w:r>
      <w:r>
        <w:rPr>
          <w:rFonts w:ascii="Arial"/>
          <w:color w:val="231F20"/>
          <w:w w:val="95"/>
          <w:sz w:val="10"/>
        </w:rPr>
        <w:t>a</w:t>
      </w:r>
      <w:r>
        <w:rPr>
          <w:rFonts w:ascii="Arial"/>
          <w:color w:val="231F20"/>
          <w:spacing w:val="-12"/>
          <w:w w:val="95"/>
          <w:sz w:val="10"/>
        </w:rPr>
        <w:t> </w:t>
      </w:r>
      <w:r>
        <w:rPr>
          <w:rFonts w:ascii="Arial"/>
          <w:color w:val="231F20"/>
          <w:w w:val="95"/>
          <w:sz w:val="10"/>
        </w:rPr>
        <w:t>director,</w:t>
      </w:r>
      <w:r>
        <w:rPr>
          <w:rFonts w:ascii="Arial"/>
          <w:color w:val="231F20"/>
          <w:spacing w:val="-12"/>
          <w:w w:val="95"/>
          <w:sz w:val="10"/>
        </w:rPr>
        <w:t> </w:t>
      </w:r>
      <w:r>
        <w:rPr>
          <w:rFonts w:ascii="Arial"/>
          <w:color w:val="231F20"/>
          <w:w w:val="95"/>
          <w:sz w:val="10"/>
        </w:rPr>
        <w:t>to</w:t>
      </w:r>
      <w:r>
        <w:rPr>
          <w:rFonts w:ascii="Arial"/>
          <w:color w:val="231F20"/>
          <w:spacing w:val="-12"/>
          <w:w w:val="95"/>
          <w:sz w:val="10"/>
        </w:rPr>
        <w:t> </w:t>
      </w:r>
      <w:r>
        <w:rPr>
          <w:rFonts w:ascii="Arial"/>
          <w:color w:val="231F20"/>
          <w:w w:val="95"/>
          <w:sz w:val="10"/>
        </w:rPr>
        <w:t>serve</w:t>
      </w:r>
      <w:r>
        <w:rPr>
          <w:rFonts w:ascii="Arial"/>
          <w:color w:val="231F20"/>
          <w:spacing w:val="-12"/>
          <w:w w:val="95"/>
          <w:sz w:val="10"/>
        </w:rPr>
        <w:t> </w:t>
      </w:r>
      <w:r>
        <w:rPr>
          <w:rFonts w:ascii="Arial"/>
          <w:color w:val="231F20"/>
          <w:w w:val="95"/>
          <w:sz w:val="10"/>
        </w:rPr>
        <w:t>until</w:t>
      </w:r>
      <w:r>
        <w:rPr>
          <w:rFonts w:ascii="Arial"/>
          <w:color w:val="231F20"/>
          <w:spacing w:val="-12"/>
          <w:w w:val="95"/>
          <w:sz w:val="10"/>
        </w:rPr>
        <w:t> </w:t>
      </w:r>
      <w:r>
        <w:rPr>
          <w:rFonts w:ascii="Arial"/>
          <w:color w:val="231F20"/>
          <w:spacing w:val="-6"/>
          <w:w w:val="95"/>
          <w:sz w:val="10"/>
        </w:rPr>
        <w:t>the </w:t>
      </w:r>
      <w:r>
        <w:rPr>
          <w:rFonts w:ascii="Arial"/>
          <w:color w:val="231F20"/>
          <w:w w:val="95"/>
          <w:sz w:val="10"/>
        </w:rPr>
        <w:t>next annual meeting of</w:t>
      </w:r>
      <w:r>
        <w:rPr>
          <w:rFonts w:ascii="Arial"/>
          <w:color w:val="231F20"/>
          <w:spacing w:val="-7"/>
          <w:w w:val="95"/>
          <w:sz w:val="10"/>
        </w:rPr>
        <w:t> </w:t>
      </w:r>
      <w:r>
        <w:rPr>
          <w:rFonts w:ascii="Arial"/>
          <w:color w:val="231F20"/>
          <w:w w:val="95"/>
          <w:sz w:val="10"/>
        </w:rPr>
        <w:t>shareholders;</w:t>
      </w:r>
    </w:p>
    <w:p>
      <w:pPr>
        <w:spacing w:line="249" w:lineRule="auto" w:before="69"/>
        <w:ind w:left="378" w:right="-11" w:hanging="225"/>
        <w:jc w:val="left"/>
        <w:rPr>
          <w:rFonts w:ascii="Arial"/>
          <w:sz w:val="10"/>
        </w:rPr>
      </w:pPr>
      <w:r>
        <w:rPr>
          <w:rFonts w:ascii="Arial"/>
          <w:color w:val="231F20"/>
          <w:w w:val="95"/>
          <w:sz w:val="10"/>
        </w:rPr>
        <w:t>2(c).</w:t>
      </w:r>
      <w:r>
        <w:rPr>
          <w:rFonts w:ascii="Arial"/>
          <w:color w:val="231F20"/>
          <w:spacing w:val="-3"/>
          <w:w w:val="95"/>
          <w:sz w:val="10"/>
        </w:rPr>
        <w:t> </w:t>
      </w:r>
      <w:r>
        <w:rPr>
          <w:rFonts w:ascii="Arial"/>
          <w:color w:val="231F20"/>
          <w:w w:val="95"/>
          <w:sz w:val="10"/>
        </w:rPr>
        <w:t>To</w:t>
      </w:r>
      <w:r>
        <w:rPr>
          <w:rFonts w:ascii="Arial"/>
          <w:color w:val="231F20"/>
          <w:spacing w:val="-16"/>
          <w:w w:val="95"/>
          <w:sz w:val="10"/>
        </w:rPr>
        <w:t> </w:t>
      </w:r>
      <w:r>
        <w:rPr>
          <w:rFonts w:ascii="Arial"/>
          <w:color w:val="231F20"/>
          <w:w w:val="95"/>
          <w:sz w:val="10"/>
        </w:rPr>
        <w:t>approve</w:t>
      </w:r>
      <w:r>
        <w:rPr>
          <w:rFonts w:ascii="Arial"/>
          <w:color w:val="231F20"/>
          <w:spacing w:val="-16"/>
          <w:w w:val="95"/>
          <w:sz w:val="10"/>
        </w:rPr>
        <w:t> </w:t>
      </w:r>
      <w:r>
        <w:rPr>
          <w:rFonts w:ascii="Arial"/>
          <w:color w:val="231F20"/>
          <w:w w:val="95"/>
          <w:sz w:val="10"/>
        </w:rPr>
        <w:t>the</w:t>
      </w:r>
      <w:r>
        <w:rPr>
          <w:rFonts w:ascii="Arial"/>
          <w:color w:val="231F20"/>
          <w:spacing w:val="-15"/>
          <w:w w:val="95"/>
          <w:sz w:val="10"/>
        </w:rPr>
        <w:t> </w:t>
      </w:r>
      <w:r>
        <w:rPr>
          <w:rFonts w:ascii="Arial"/>
          <w:color w:val="231F20"/>
          <w:w w:val="95"/>
          <w:sz w:val="10"/>
        </w:rPr>
        <w:t>reelection</w:t>
      </w:r>
      <w:r>
        <w:rPr>
          <w:rFonts w:ascii="Arial"/>
          <w:color w:val="231F20"/>
          <w:spacing w:val="-16"/>
          <w:w w:val="95"/>
          <w:sz w:val="10"/>
        </w:rPr>
        <w:t> </w:t>
      </w:r>
      <w:r>
        <w:rPr>
          <w:rFonts w:ascii="Arial"/>
          <w:color w:val="231F20"/>
          <w:w w:val="95"/>
          <w:sz w:val="10"/>
        </w:rPr>
        <w:t>of</w:t>
      </w:r>
      <w:r>
        <w:rPr>
          <w:rFonts w:ascii="Arial"/>
          <w:color w:val="231F20"/>
          <w:spacing w:val="-4"/>
          <w:w w:val="95"/>
          <w:sz w:val="10"/>
        </w:rPr>
        <w:t> </w:t>
      </w:r>
      <w:r>
        <w:rPr>
          <w:rFonts w:ascii="Arial"/>
          <w:color w:val="231F20"/>
          <w:w w:val="95"/>
          <w:sz w:val="10"/>
        </w:rPr>
        <w:t>Mr.</w:t>
      </w:r>
      <w:r>
        <w:rPr>
          <w:rFonts w:ascii="Arial"/>
          <w:color w:val="231F20"/>
          <w:spacing w:val="-16"/>
          <w:w w:val="95"/>
          <w:sz w:val="10"/>
        </w:rPr>
        <w:t> </w:t>
      </w:r>
      <w:r>
        <w:rPr>
          <w:rFonts w:ascii="Arial"/>
          <w:color w:val="231F20"/>
          <w:w w:val="95"/>
          <w:sz w:val="10"/>
        </w:rPr>
        <w:t>David</w:t>
      </w:r>
      <w:r>
        <w:rPr>
          <w:rFonts w:ascii="Arial"/>
          <w:color w:val="231F20"/>
          <w:spacing w:val="-15"/>
          <w:w w:val="95"/>
          <w:sz w:val="10"/>
        </w:rPr>
        <w:t> </w:t>
      </w:r>
      <w:r>
        <w:rPr>
          <w:rFonts w:ascii="Arial"/>
          <w:color w:val="231F20"/>
          <w:w w:val="95"/>
          <w:sz w:val="10"/>
        </w:rPr>
        <w:t>Salton</w:t>
      </w:r>
      <w:r>
        <w:rPr>
          <w:rFonts w:ascii="Arial"/>
          <w:color w:val="231F20"/>
          <w:spacing w:val="-16"/>
          <w:w w:val="95"/>
          <w:sz w:val="10"/>
        </w:rPr>
        <w:t> </w:t>
      </w:r>
      <w:r>
        <w:rPr>
          <w:rFonts w:ascii="Arial"/>
          <w:color w:val="231F20"/>
          <w:w w:val="95"/>
          <w:sz w:val="10"/>
        </w:rPr>
        <w:t>as</w:t>
      </w:r>
      <w:r>
        <w:rPr>
          <w:rFonts w:ascii="Arial"/>
          <w:color w:val="231F20"/>
          <w:spacing w:val="-15"/>
          <w:w w:val="95"/>
          <w:sz w:val="10"/>
        </w:rPr>
        <w:t> </w:t>
      </w:r>
      <w:r>
        <w:rPr>
          <w:rFonts w:ascii="Arial"/>
          <w:color w:val="231F20"/>
          <w:w w:val="95"/>
          <w:sz w:val="10"/>
        </w:rPr>
        <w:t>a</w:t>
      </w:r>
      <w:r>
        <w:rPr>
          <w:rFonts w:ascii="Arial"/>
          <w:color w:val="231F20"/>
          <w:spacing w:val="-16"/>
          <w:w w:val="95"/>
          <w:sz w:val="10"/>
        </w:rPr>
        <w:t> </w:t>
      </w:r>
      <w:r>
        <w:rPr>
          <w:rFonts w:ascii="Arial"/>
          <w:color w:val="231F20"/>
          <w:w w:val="95"/>
          <w:sz w:val="10"/>
        </w:rPr>
        <w:t>director,</w:t>
      </w:r>
      <w:r>
        <w:rPr>
          <w:rFonts w:ascii="Arial"/>
          <w:color w:val="231F20"/>
          <w:spacing w:val="-15"/>
          <w:w w:val="95"/>
          <w:sz w:val="10"/>
        </w:rPr>
        <w:t> </w:t>
      </w:r>
      <w:r>
        <w:rPr>
          <w:rFonts w:ascii="Arial"/>
          <w:color w:val="231F20"/>
          <w:w w:val="95"/>
          <w:sz w:val="10"/>
        </w:rPr>
        <w:t>to</w:t>
      </w:r>
      <w:r>
        <w:rPr>
          <w:rFonts w:ascii="Arial"/>
          <w:color w:val="231F20"/>
          <w:spacing w:val="-16"/>
          <w:w w:val="95"/>
          <w:sz w:val="10"/>
        </w:rPr>
        <w:t> </w:t>
      </w:r>
      <w:r>
        <w:rPr>
          <w:rFonts w:ascii="Arial"/>
          <w:color w:val="231F20"/>
          <w:w w:val="95"/>
          <w:sz w:val="10"/>
        </w:rPr>
        <w:t>serve</w:t>
      </w:r>
      <w:r>
        <w:rPr>
          <w:rFonts w:ascii="Arial"/>
          <w:color w:val="231F20"/>
          <w:spacing w:val="-16"/>
          <w:w w:val="95"/>
          <w:sz w:val="10"/>
        </w:rPr>
        <w:t> </w:t>
      </w:r>
      <w:r>
        <w:rPr>
          <w:rFonts w:ascii="Arial"/>
          <w:color w:val="231F20"/>
          <w:w w:val="95"/>
          <w:sz w:val="10"/>
        </w:rPr>
        <w:t>until</w:t>
      </w:r>
      <w:r>
        <w:rPr>
          <w:rFonts w:ascii="Arial"/>
          <w:color w:val="231F20"/>
          <w:spacing w:val="-15"/>
          <w:w w:val="95"/>
          <w:sz w:val="10"/>
        </w:rPr>
        <w:t> </w:t>
      </w:r>
      <w:r>
        <w:rPr>
          <w:rFonts w:ascii="Arial"/>
          <w:color w:val="231F20"/>
          <w:spacing w:val="-5"/>
          <w:w w:val="95"/>
          <w:sz w:val="10"/>
        </w:rPr>
        <w:t>the </w:t>
      </w:r>
      <w:r>
        <w:rPr>
          <w:rFonts w:ascii="Arial"/>
          <w:color w:val="231F20"/>
          <w:w w:val="95"/>
          <w:sz w:val="10"/>
        </w:rPr>
        <w:t>next annual meeting of</w:t>
      </w:r>
      <w:r>
        <w:rPr>
          <w:rFonts w:ascii="Arial"/>
          <w:color w:val="231F20"/>
          <w:spacing w:val="-7"/>
          <w:w w:val="95"/>
          <w:sz w:val="10"/>
        </w:rPr>
        <w:t> </w:t>
      </w:r>
      <w:r>
        <w:rPr>
          <w:rFonts w:ascii="Arial"/>
          <w:color w:val="231F20"/>
          <w:w w:val="95"/>
          <w:sz w:val="10"/>
        </w:rPr>
        <w:t>shareholders;</w:t>
      </w:r>
    </w:p>
    <w:p>
      <w:pPr>
        <w:spacing w:line="249" w:lineRule="auto" w:before="68"/>
        <w:ind w:left="378" w:right="-9" w:hanging="225"/>
        <w:jc w:val="left"/>
        <w:rPr>
          <w:rFonts w:ascii="Arial"/>
          <w:sz w:val="10"/>
        </w:rPr>
      </w:pPr>
      <w:r>
        <w:rPr>
          <w:rFonts w:ascii="Arial"/>
          <w:color w:val="231F20"/>
          <w:w w:val="95"/>
          <w:sz w:val="10"/>
        </w:rPr>
        <w:t>2(d). To</w:t>
      </w:r>
      <w:r>
        <w:rPr>
          <w:rFonts w:ascii="Arial"/>
          <w:color w:val="231F20"/>
          <w:spacing w:val="-9"/>
          <w:w w:val="95"/>
          <w:sz w:val="10"/>
        </w:rPr>
        <w:t> </w:t>
      </w:r>
      <w:r>
        <w:rPr>
          <w:rFonts w:ascii="Arial"/>
          <w:color w:val="231F20"/>
          <w:w w:val="95"/>
          <w:sz w:val="10"/>
        </w:rPr>
        <w:t>approve</w:t>
      </w:r>
      <w:r>
        <w:rPr>
          <w:rFonts w:ascii="Arial"/>
          <w:color w:val="231F20"/>
          <w:spacing w:val="-8"/>
          <w:w w:val="95"/>
          <w:sz w:val="10"/>
        </w:rPr>
        <w:t> </w:t>
      </w:r>
      <w:r>
        <w:rPr>
          <w:rFonts w:ascii="Arial"/>
          <w:color w:val="231F20"/>
          <w:w w:val="95"/>
          <w:sz w:val="10"/>
        </w:rPr>
        <w:t>the</w:t>
      </w:r>
      <w:r>
        <w:rPr>
          <w:rFonts w:ascii="Arial"/>
          <w:color w:val="231F20"/>
          <w:spacing w:val="-8"/>
          <w:w w:val="95"/>
          <w:sz w:val="10"/>
        </w:rPr>
        <w:t> </w:t>
      </w:r>
      <w:r>
        <w:rPr>
          <w:rFonts w:ascii="Arial"/>
          <w:color w:val="231F20"/>
          <w:w w:val="95"/>
          <w:sz w:val="10"/>
        </w:rPr>
        <w:t>reelection</w:t>
      </w:r>
      <w:r>
        <w:rPr>
          <w:rFonts w:ascii="Arial"/>
          <w:color w:val="231F20"/>
          <w:spacing w:val="-9"/>
          <w:w w:val="95"/>
          <w:sz w:val="10"/>
        </w:rPr>
        <w:t> </w:t>
      </w:r>
      <w:r>
        <w:rPr>
          <w:rFonts w:ascii="Arial"/>
          <w:color w:val="231F20"/>
          <w:w w:val="95"/>
          <w:sz w:val="10"/>
        </w:rPr>
        <w:t>of</w:t>
      </w:r>
      <w:r>
        <w:rPr>
          <w:rFonts w:ascii="Arial"/>
          <w:color w:val="231F20"/>
          <w:spacing w:val="-8"/>
          <w:w w:val="95"/>
          <w:sz w:val="10"/>
        </w:rPr>
        <w:t> </w:t>
      </w:r>
      <w:r>
        <w:rPr>
          <w:rFonts w:ascii="Arial"/>
          <w:color w:val="231F20"/>
          <w:w w:val="95"/>
          <w:sz w:val="10"/>
        </w:rPr>
        <w:t>Mr.</w:t>
      </w:r>
      <w:r>
        <w:rPr>
          <w:rFonts w:ascii="Arial"/>
          <w:color w:val="231F20"/>
          <w:spacing w:val="-8"/>
          <w:w w:val="95"/>
          <w:sz w:val="10"/>
        </w:rPr>
        <w:t> </w:t>
      </w:r>
      <w:r>
        <w:rPr>
          <w:rFonts w:ascii="Arial"/>
          <w:color w:val="231F20"/>
          <w:w w:val="95"/>
          <w:sz w:val="10"/>
        </w:rPr>
        <w:t>Erez</w:t>
      </w:r>
      <w:r>
        <w:rPr>
          <w:rFonts w:ascii="Arial"/>
          <w:color w:val="231F20"/>
          <w:spacing w:val="-9"/>
          <w:w w:val="95"/>
          <w:sz w:val="10"/>
        </w:rPr>
        <w:t> </w:t>
      </w:r>
      <w:r>
        <w:rPr>
          <w:rFonts w:ascii="Arial"/>
          <w:color w:val="231F20"/>
          <w:w w:val="95"/>
          <w:sz w:val="10"/>
        </w:rPr>
        <w:t>Alroy</w:t>
      </w:r>
      <w:r>
        <w:rPr>
          <w:rFonts w:ascii="Arial"/>
          <w:color w:val="231F20"/>
          <w:spacing w:val="-8"/>
          <w:w w:val="95"/>
          <w:sz w:val="10"/>
        </w:rPr>
        <w:t> </w:t>
      </w:r>
      <w:r>
        <w:rPr>
          <w:rFonts w:ascii="Arial"/>
          <w:color w:val="231F20"/>
          <w:w w:val="95"/>
          <w:sz w:val="10"/>
        </w:rPr>
        <w:t>as</w:t>
      </w:r>
      <w:r>
        <w:rPr>
          <w:rFonts w:ascii="Arial"/>
          <w:color w:val="231F20"/>
          <w:spacing w:val="-8"/>
          <w:w w:val="95"/>
          <w:sz w:val="10"/>
        </w:rPr>
        <w:t> </w:t>
      </w:r>
      <w:r>
        <w:rPr>
          <w:rFonts w:ascii="Arial"/>
          <w:color w:val="231F20"/>
          <w:w w:val="95"/>
          <w:sz w:val="10"/>
        </w:rPr>
        <w:t>a</w:t>
      </w:r>
      <w:r>
        <w:rPr>
          <w:rFonts w:ascii="Arial"/>
          <w:color w:val="231F20"/>
          <w:spacing w:val="-9"/>
          <w:w w:val="95"/>
          <w:sz w:val="10"/>
        </w:rPr>
        <w:t> </w:t>
      </w:r>
      <w:r>
        <w:rPr>
          <w:rFonts w:ascii="Arial"/>
          <w:color w:val="231F20"/>
          <w:w w:val="95"/>
          <w:sz w:val="10"/>
        </w:rPr>
        <w:t>director,</w:t>
      </w:r>
      <w:r>
        <w:rPr>
          <w:rFonts w:ascii="Arial"/>
          <w:color w:val="231F20"/>
          <w:spacing w:val="-8"/>
          <w:w w:val="95"/>
          <w:sz w:val="10"/>
        </w:rPr>
        <w:t> </w:t>
      </w:r>
      <w:r>
        <w:rPr>
          <w:rFonts w:ascii="Arial"/>
          <w:color w:val="231F20"/>
          <w:w w:val="95"/>
          <w:sz w:val="10"/>
        </w:rPr>
        <w:t>to</w:t>
      </w:r>
      <w:r>
        <w:rPr>
          <w:rFonts w:ascii="Arial"/>
          <w:color w:val="231F20"/>
          <w:spacing w:val="-8"/>
          <w:w w:val="95"/>
          <w:sz w:val="10"/>
        </w:rPr>
        <w:t> </w:t>
      </w:r>
      <w:r>
        <w:rPr>
          <w:rFonts w:ascii="Arial"/>
          <w:color w:val="231F20"/>
          <w:w w:val="95"/>
          <w:sz w:val="10"/>
        </w:rPr>
        <w:t>serve</w:t>
      </w:r>
      <w:r>
        <w:rPr>
          <w:rFonts w:ascii="Arial"/>
          <w:color w:val="231F20"/>
          <w:spacing w:val="-9"/>
          <w:w w:val="95"/>
          <w:sz w:val="10"/>
        </w:rPr>
        <w:t> </w:t>
      </w:r>
      <w:r>
        <w:rPr>
          <w:rFonts w:ascii="Arial"/>
          <w:color w:val="231F20"/>
          <w:w w:val="95"/>
          <w:sz w:val="10"/>
        </w:rPr>
        <w:t>until</w:t>
      </w:r>
      <w:r>
        <w:rPr>
          <w:rFonts w:ascii="Arial"/>
          <w:color w:val="231F20"/>
          <w:spacing w:val="-8"/>
          <w:w w:val="95"/>
          <w:sz w:val="10"/>
        </w:rPr>
        <w:t> </w:t>
      </w:r>
      <w:r>
        <w:rPr>
          <w:rFonts w:ascii="Arial"/>
          <w:color w:val="231F20"/>
          <w:spacing w:val="-5"/>
          <w:w w:val="95"/>
          <w:sz w:val="10"/>
        </w:rPr>
        <w:t>the </w:t>
      </w:r>
      <w:r>
        <w:rPr>
          <w:rFonts w:ascii="Arial"/>
          <w:color w:val="231F20"/>
          <w:w w:val="95"/>
          <w:sz w:val="10"/>
        </w:rPr>
        <w:t>next annual meeting of</w:t>
      </w:r>
      <w:r>
        <w:rPr>
          <w:rFonts w:ascii="Arial"/>
          <w:color w:val="231F20"/>
          <w:spacing w:val="-7"/>
          <w:w w:val="95"/>
          <w:sz w:val="10"/>
        </w:rPr>
        <w:t> </w:t>
      </w:r>
      <w:r>
        <w:rPr>
          <w:rFonts w:ascii="Arial"/>
          <w:color w:val="231F20"/>
          <w:w w:val="95"/>
          <w:sz w:val="10"/>
        </w:rPr>
        <w:t>shareholders;</w:t>
      </w:r>
    </w:p>
    <w:p>
      <w:pPr>
        <w:spacing w:line="249" w:lineRule="auto" w:before="68"/>
        <w:ind w:left="378" w:right="-5" w:hanging="225"/>
        <w:jc w:val="left"/>
        <w:rPr>
          <w:rFonts w:ascii="Arial"/>
          <w:sz w:val="10"/>
        </w:rPr>
      </w:pPr>
      <w:r>
        <w:rPr>
          <w:rFonts w:ascii="Arial"/>
          <w:color w:val="231F20"/>
          <w:w w:val="90"/>
          <w:sz w:val="10"/>
        </w:rPr>
        <w:t>2(e).</w:t>
      </w:r>
      <w:r>
        <w:rPr>
          <w:rFonts w:ascii="Arial"/>
          <w:color w:val="231F20"/>
          <w:spacing w:val="13"/>
          <w:w w:val="90"/>
          <w:sz w:val="10"/>
        </w:rPr>
        <w:t> </w:t>
      </w:r>
      <w:r>
        <w:rPr>
          <w:rFonts w:ascii="Arial"/>
          <w:color w:val="231F20"/>
          <w:w w:val="90"/>
          <w:sz w:val="10"/>
        </w:rPr>
        <w:t>To</w:t>
      </w:r>
      <w:r>
        <w:rPr>
          <w:rFonts w:ascii="Arial"/>
          <w:color w:val="231F20"/>
          <w:spacing w:val="-9"/>
          <w:w w:val="90"/>
          <w:sz w:val="10"/>
        </w:rPr>
        <w:t> </w:t>
      </w:r>
      <w:r>
        <w:rPr>
          <w:rFonts w:ascii="Arial"/>
          <w:color w:val="231F20"/>
          <w:w w:val="90"/>
          <w:sz w:val="10"/>
        </w:rPr>
        <w:t>approve</w:t>
      </w:r>
      <w:r>
        <w:rPr>
          <w:rFonts w:ascii="Arial"/>
          <w:color w:val="231F20"/>
          <w:spacing w:val="-8"/>
          <w:w w:val="90"/>
          <w:sz w:val="10"/>
        </w:rPr>
        <w:t> </w:t>
      </w:r>
      <w:r>
        <w:rPr>
          <w:rFonts w:ascii="Arial"/>
          <w:color w:val="231F20"/>
          <w:w w:val="90"/>
          <w:sz w:val="10"/>
        </w:rPr>
        <w:t>the</w:t>
      </w:r>
      <w:r>
        <w:rPr>
          <w:rFonts w:ascii="Arial"/>
          <w:color w:val="231F20"/>
          <w:spacing w:val="-9"/>
          <w:w w:val="90"/>
          <w:sz w:val="10"/>
        </w:rPr>
        <w:t> </w:t>
      </w:r>
      <w:r>
        <w:rPr>
          <w:rFonts w:ascii="Arial"/>
          <w:color w:val="231F20"/>
          <w:w w:val="90"/>
          <w:sz w:val="10"/>
        </w:rPr>
        <w:t>reelection</w:t>
      </w:r>
      <w:r>
        <w:rPr>
          <w:rFonts w:ascii="Arial"/>
          <w:color w:val="231F20"/>
          <w:spacing w:val="-9"/>
          <w:w w:val="90"/>
          <w:sz w:val="10"/>
        </w:rPr>
        <w:t> </w:t>
      </w:r>
      <w:r>
        <w:rPr>
          <w:rFonts w:ascii="Arial"/>
          <w:color w:val="231F20"/>
          <w:w w:val="90"/>
          <w:sz w:val="10"/>
        </w:rPr>
        <w:t>of</w:t>
      </w:r>
      <w:r>
        <w:rPr>
          <w:rFonts w:ascii="Arial"/>
          <w:color w:val="231F20"/>
          <w:spacing w:val="-9"/>
          <w:w w:val="90"/>
          <w:sz w:val="10"/>
        </w:rPr>
        <w:t> </w:t>
      </w:r>
      <w:r>
        <w:rPr>
          <w:rFonts w:ascii="Arial"/>
          <w:color w:val="231F20"/>
          <w:w w:val="90"/>
          <w:sz w:val="10"/>
        </w:rPr>
        <w:t>Prof.</w:t>
      </w:r>
      <w:r>
        <w:rPr>
          <w:rFonts w:ascii="Arial"/>
          <w:color w:val="231F20"/>
          <w:spacing w:val="-8"/>
          <w:w w:val="90"/>
          <w:sz w:val="10"/>
        </w:rPr>
        <w:t> </w:t>
      </w:r>
      <w:r>
        <w:rPr>
          <w:rFonts w:ascii="Arial"/>
          <w:color w:val="231F20"/>
          <w:w w:val="90"/>
          <w:sz w:val="10"/>
        </w:rPr>
        <w:t>Amir</w:t>
      </w:r>
      <w:r>
        <w:rPr>
          <w:rFonts w:ascii="Arial"/>
          <w:color w:val="231F20"/>
          <w:spacing w:val="-9"/>
          <w:w w:val="90"/>
          <w:sz w:val="10"/>
        </w:rPr>
        <w:t> </w:t>
      </w:r>
      <w:r>
        <w:rPr>
          <w:rFonts w:ascii="Arial"/>
          <w:color w:val="231F20"/>
          <w:w w:val="90"/>
          <w:sz w:val="10"/>
        </w:rPr>
        <w:t>Lerman</w:t>
      </w:r>
      <w:r>
        <w:rPr>
          <w:rFonts w:ascii="Arial"/>
          <w:color w:val="231F20"/>
          <w:spacing w:val="-9"/>
          <w:w w:val="90"/>
          <w:sz w:val="10"/>
        </w:rPr>
        <w:t> </w:t>
      </w:r>
      <w:r>
        <w:rPr>
          <w:rFonts w:ascii="Arial"/>
          <w:color w:val="231F20"/>
          <w:w w:val="90"/>
          <w:sz w:val="10"/>
        </w:rPr>
        <w:t>as</w:t>
      </w:r>
      <w:r>
        <w:rPr>
          <w:rFonts w:ascii="Arial"/>
          <w:color w:val="231F20"/>
          <w:spacing w:val="-8"/>
          <w:w w:val="90"/>
          <w:sz w:val="10"/>
        </w:rPr>
        <w:t> </w:t>
      </w:r>
      <w:r>
        <w:rPr>
          <w:rFonts w:ascii="Arial"/>
          <w:color w:val="231F20"/>
          <w:w w:val="90"/>
          <w:sz w:val="10"/>
        </w:rPr>
        <w:t>a</w:t>
      </w:r>
      <w:r>
        <w:rPr>
          <w:rFonts w:ascii="Arial"/>
          <w:color w:val="231F20"/>
          <w:spacing w:val="-9"/>
          <w:w w:val="90"/>
          <w:sz w:val="10"/>
        </w:rPr>
        <w:t> </w:t>
      </w:r>
      <w:r>
        <w:rPr>
          <w:rFonts w:ascii="Arial"/>
          <w:color w:val="231F20"/>
          <w:w w:val="90"/>
          <w:sz w:val="10"/>
        </w:rPr>
        <w:t>director,</w:t>
      </w:r>
      <w:r>
        <w:rPr>
          <w:rFonts w:ascii="Arial"/>
          <w:color w:val="231F20"/>
          <w:spacing w:val="-9"/>
          <w:w w:val="90"/>
          <w:sz w:val="10"/>
        </w:rPr>
        <w:t> </w:t>
      </w:r>
      <w:r>
        <w:rPr>
          <w:rFonts w:ascii="Arial"/>
          <w:color w:val="231F20"/>
          <w:w w:val="90"/>
          <w:sz w:val="10"/>
        </w:rPr>
        <w:t>to</w:t>
      </w:r>
      <w:r>
        <w:rPr>
          <w:rFonts w:ascii="Arial"/>
          <w:color w:val="231F20"/>
          <w:spacing w:val="-9"/>
          <w:w w:val="90"/>
          <w:sz w:val="10"/>
        </w:rPr>
        <w:t> </w:t>
      </w:r>
      <w:r>
        <w:rPr>
          <w:rFonts w:ascii="Arial"/>
          <w:color w:val="231F20"/>
          <w:w w:val="90"/>
          <w:sz w:val="10"/>
        </w:rPr>
        <w:t>serve</w:t>
      </w:r>
      <w:r>
        <w:rPr>
          <w:rFonts w:ascii="Arial"/>
          <w:color w:val="231F20"/>
          <w:spacing w:val="-8"/>
          <w:w w:val="90"/>
          <w:sz w:val="10"/>
        </w:rPr>
        <w:t> </w:t>
      </w:r>
      <w:r>
        <w:rPr>
          <w:rFonts w:ascii="Arial"/>
          <w:color w:val="231F20"/>
          <w:w w:val="90"/>
          <w:sz w:val="10"/>
        </w:rPr>
        <w:t>until</w:t>
      </w:r>
      <w:r>
        <w:rPr>
          <w:rFonts w:ascii="Arial"/>
          <w:color w:val="231F20"/>
          <w:spacing w:val="-9"/>
          <w:w w:val="90"/>
          <w:sz w:val="10"/>
        </w:rPr>
        <w:t> </w:t>
      </w:r>
      <w:r>
        <w:rPr>
          <w:rFonts w:ascii="Arial"/>
          <w:color w:val="231F20"/>
          <w:spacing w:val="-4"/>
          <w:w w:val="90"/>
          <w:sz w:val="10"/>
        </w:rPr>
        <w:t>the </w:t>
      </w:r>
      <w:r>
        <w:rPr>
          <w:rFonts w:ascii="Arial"/>
          <w:color w:val="231F20"/>
          <w:w w:val="95"/>
          <w:sz w:val="10"/>
        </w:rPr>
        <w:t>next annual meeting of shareholders;</w:t>
      </w:r>
      <w:r>
        <w:rPr>
          <w:rFonts w:ascii="Arial"/>
          <w:color w:val="231F20"/>
          <w:spacing w:val="-10"/>
          <w:w w:val="95"/>
          <w:sz w:val="10"/>
        </w:rPr>
        <w:t> </w:t>
      </w:r>
      <w:r>
        <w:rPr>
          <w:rFonts w:ascii="Arial"/>
          <w:color w:val="231F20"/>
          <w:w w:val="95"/>
          <w:sz w:val="10"/>
        </w:rPr>
        <w:t>and</w:t>
      </w:r>
    </w:p>
    <w:p>
      <w:pPr>
        <w:spacing w:line="249" w:lineRule="auto" w:before="69"/>
        <w:ind w:left="378" w:right="-11" w:hanging="225"/>
        <w:jc w:val="left"/>
        <w:rPr>
          <w:rFonts w:ascii="Arial"/>
          <w:sz w:val="10"/>
        </w:rPr>
      </w:pPr>
      <w:r>
        <w:rPr>
          <w:rFonts w:ascii="Arial"/>
          <w:color w:val="231F20"/>
          <w:w w:val="95"/>
          <w:sz w:val="10"/>
        </w:rPr>
        <w:t>2(f).</w:t>
      </w:r>
      <w:r>
        <w:rPr>
          <w:rFonts w:ascii="Arial"/>
          <w:color w:val="231F20"/>
          <w:spacing w:val="8"/>
          <w:w w:val="95"/>
          <w:sz w:val="10"/>
        </w:rPr>
        <w:t> </w:t>
      </w:r>
      <w:r>
        <w:rPr>
          <w:rFonts w:ascii="Arial"/>
          <w:color w:val="231F20"/>
          <w:w w:val="95"/>
          <w:sz w:val="10"/>
        </w:rPr>
        <w:t>To</w:t>
      </w:r>
      <w:r>
        <w:rPr>
          <w:rFonts w:ascii="Arial"/>
          <w:color w:val="231F20"/>
          <w:spacing w:val="-12"/>
          <w:w w:val="95"/>
          <w:sz w:val="10"/>
        </w:rPr>
        <w:t> </w:t>
      </w:r>
      <w:r>
        <w:rPr>
          <w:rFonts w:ascii="Arial"/>
          <w:color w:val="231F20"/>
          <w:w w:val="95"/>
          <w:sz w:val="10"/>
        </w:rPr>
        <w:t>approve</w:t>
      </w:r>
      <w:r>
        <w:rPr>
          <w:rFonts w:ascii="Arial"/>
          <w:color w:val="231F20"/>
          <w:spacing w:val="-11"/>
          <w:w w:val="95"/>
          <w:sz w:val="10"/>
        </w:rPr>
        <w:t> </w:t>
      </w:r>
      <w:r>
        <w:rPr>
          <w:rFonts w:ascii="Arial"/>
          <w:color w:val="231F20"/>
          <w:w w:val="95"/>
          <w:sz w:val="10"/>
        </w:rPr>
        <w:t>the</w:t>
      </w:r>
      <w:r>
        <w:rPr>
          <w:rFonts w:ascii="Arial"/>
          <w:color w:val="231F20"/>
          <w:spacing w:val="-12"/>
          <w:w w:val="95"/>
          <w:sz w:val="10"/>
        </w:rPr>
        <w:t> </w:t>
      </w:r>
      <w:r>
        <w:rPr>
          <w:rFonts w:ascii="Arial"/>
          <w:color w:val="231F20"/>
          <w:w w:val="95"/>
          <w:sz w:val="10"/>
        </w:rPr>
        <w:t>reelection</w:t>
      </w:r>
      <w:r>
        <w:rPr>
          <w:rFonts w:ascii="Arial"/>
          <w:color w:val="231F20"/>
          <w:spacing w:val="-12"/>
          <w:w w:val="95"/>
          <w:sz w:val="10"/>
        </w:rPr>
        <w:t> </w:t>
      </w:r>
      <w:r>
        <w:rPr>
          <w:rFonts w:ascii="Arial"/>
          <w:color w:val="231F20"/>
          <w:w w:val="95"/>
          <w:sz w:val="10"/>
        </w:rPr>
        <w:t>of</w:t>
      </w:r>
      <w:r>
        <w:rPr>
          <w:rFonts w:ascii="Arial"/>
          <w:color w:val="231F20"/>
          <w:spacing w:val="-11"/>
          <w:w w:val="95"/>
          <w:sz w:val="10"/>
        </w:rPr>
        <w:t> </w:t>
      </w:r>
      <w:r>
        <w:rPr>
          <w:rFonts w:ascii="Arial"/>
          <w:color w:val="231F20"/>
          <w:w w:val="95"/>
          <w:sz w:val="10"/>
        </w:rPr>
        <w:t>Mr.</w:t>
      </w:r>
      <w:r>
        <w:rPr>
          <w:rFonts w:ascii="Arial"/>
          <w:color w:val="231F20"/>
          <w:spacing w:val="-12"/>
          <w:w w:val="95"/>
          <w:sz w:val="10"/>
        </w:rPr>
        <w:t> </w:t>
      </w:r>
      <w:r>
        <w:rPr>
          <w:rFonts w:ascii="Arial"/>
          <w:color w:val="231F20"/>
          <w:w w:val="95"/>
          <w:sz w:val="10"/>
        </w:rPr>
        <w:t>Erez</w:t>
      </w:r>
      <w:r>
        <w:rPr>
          <w:rFonts w:ascii="Arial"/>
          <w:color w:val="231F20"/>
          <w:spacing w:val="-11"/>
          <w:w w:val="95"/>
          <w:sz w:val="10"/>
        </w:rPr>
        <w:t> </w:t>
      </w:r>
      <w:r>
        <w:rPr>
          <w:rFonts w:ascii="Arial"/>
          <w:color w:val="231F20"/>
          <w:w w:val="95"/>
          <w:sz w:val="10"/>
        </w:rPr>
        <w:t>Nachtomy</w:t>
      </w:r>
      <w:r>
        <w:rPr>
          <w:rFonts w:ascii="Arial"/>
          <w:color w:val="231F20"/>
          <w:spacing w:val="-12"/>
          <w:w w:val="95"/>
          <w:sz w:val="10"/>
        </w:rPr>
        <w:t> </w:t>
      </w:r>
      <w:r>
        <w:rPr>
          <w:rFonts w:ascii="Arial"/>
          <w:color w:val="231F20"/>
          <w:w w:val="95"/>
          <w:sz w:val="10"/>
        </w:rPr>
        <w:t>as</w:t>
      </w:r>
      <w:r>
        <w:rPr>
          <w:rFonts w:ascii="Arial"/>
          <w:color w:val="231F20"/>
          <w:spacing w:val="-11"/>
          <w:w w:val="95"/>
          <w:sz w:val="10"/>
        </w:rPr>
        <w:t> </w:t>
      </w:r>
      <w:r>
        <w:rPr>
          <w:rFonts w:ascii="Arial"/>
          <w:color w:val="231F20"/>
          <w:w w:val="95"/>
          <w:sz w:val="10"/>
        </w:rPr>
        <w:t>a</w:t>
      </w:r>
      <w:r>
        <w:rPr>
          <w:rFonts w:ascii="Arial"/>
          <w:color w:val="231F20"/>
          <w:spacing w:val="-12"/>
          <w:w w:val="95"/>
          <w:sz w:val="10"/>
        </w:rPr>
        <w:t> </w:t>
      </w:r>
      <w:r>
        <w:rPr>
          <w:rFonts w:ascii="Arial"/>
          <w:color w:val="231F20"/>
          <w:w w:val="95"/>
          <w:sz w:val="10"/>
        </w:rPr>
        <w:t>director,</w:t>
      </w:r>
      <w:r>
        <w:rPr>
          <w:rFonts w:ascii="Arial"/>
          <w:color w:val="231F20"/>
          <w:spacing w:val="-11"/>
          <w:w w:val="95"/>
          <w:sz w:val="10"/>
        </w:rPr>
        <w:t> </w:t>
      </w:r>
      <w:r>
        <w:rPr>
          <w:rFonts w:ascii="Arial"/>
          <w:color w:val="231F20"/>
          <w:w w:val="95"/>
          <w:sz w:val="10"/>
        </w:rPr>
        <w:t>to</w:t>
      </w:r>
      <w:r>
        <w:rPr>
          <w:rFonts w:ascii="Arial"/>
          <w:color w:val="231F20"/>
          <w:spacing w:val="-12"/>
          <w:w w:val="95"/>
          <w:sz w:val="10"/>
        </w:rPr>
        <w:t> </w:t>
      </w:r>
      <w:r>
        <w:rPr>
          <w:rFonts w:ascii="Arial"/>
          <w:color w:val="231F20"/>
          <w:w w:val="95"/>
          <w:sz w:val="10"/>
        </w:rPr>
        <w:t>serve</w:t>
      </w:r>
      <w:r>
        <w:rPr>
          <w:rFonts w:ascii="Arial"/>
          <w:color w:val="231F20"/>
          <w:spacing w:val="-11"/>
          <w:w w:val="95"/>
          <w:sz w:val="10"/>
        </w:rPr>
        <w:t> </w:t>
      </w:r>
      <w:r>
        <w:rPr>
          <w:rFonts w:ascii="Arial"/>
          <w:color w:val="231F20"/>
          <w:spacing w:val="-3"/>
          <w:w w:val="95"/>
          <w:sz w:val="10"/>
        </w:rPr>
        <w:t>until </w:t>
      </w:r>
      <w:r>
        <w:rPr>
          <w:rFonts w:ascii="Arial"/>
          <w:color w:val="231F20"/>
          <w:w w:val="95"/>
          <w:sz w:val="10"/>
        </w:rPr>
        <w:t>the next annual meeting of</w:t>
      </w:r>
      <w:r>
        <w:rPr>
          <w:rFonts w:ascii="Arial"/>
          <w:color w:val="231F20"/>
          <w:spacing w:val="-10"/>
          <w:w w:val="95"/>
          <w:sz w:val="10"/>
        </w:rPr>
        <w:t> </w:t>
      </w:r>
      <w:r>
        <w:rPr>
          <w:rFonts w:ascii="Arial"/>
          <w:color w:val="231F20"/>
          <w:w w:val="95"/>
          <w:sz w:val="10"/>
        </w:rPr>
        <w:t>shareholders.</w:t>
      </w:r>
    </w:p>
    <w:p>
      <w:pPr>
        <w:pStyle w:val="ListParagraph"/>
        <w:numPr>
          <w:ilvl w:val="0"/>
          <w:numId w:val="13"/>
        </w:numPr>
        <w:tabs>
          <w:tab w:pos="379" w:val="left" w:leader="none"/>
        </w:tabs>
        <w:spacing w:line="249" w:lineRule="auto" w:before="68" w:after="0"/>
        <w:ind w:left="378" w:right="0" w:hanging="225"/>
        <w:jc w:val="both"/>
        <w:rPr>
          <w:rFonts w:ascii="Arial"/>
          <w:sz w:val="10"/>
        </w:rPr>
      </w:pPr>
      <w:r>
        <w:rPr>
          <w:rFonts w:ascii="Arial"/>
          <w:color w:val="231F20"/>
          <w:w w:val="95"/>
          <w:sz w:val="10"/>
        </w:rPr>
        <w:t>To</w:t>
      </w:r>
      <w:r>
        <w:rPr>
          <w:rFonts w:ascii="Arial"/>
          <w:color w:val="231F20"/>
          <w:spacing w:val="-16"/>
          <w:w w:val="95"/>
          <w:sz w:val="10"/>
        </w:rPr>
        <w:t> </w:t>
      </w:r>
      <w:r>
        <w:rPr>
          <w:rFonts w:ascii="Arial"/>
          <w:color w:val="231F20"/>
          <w:w w:val="95"/>
          <w:sz w:val="10"/>
        </w:rPr>
        <w:t>approve</w:t>
      </w:r>
      <w:r>
        <w:rPr>
          <w:rFonts w:ascii="Arial"/>
          <w:color w:val="231F20"/>
          <w:spacing w:val="-16"/>
          <w:w w:val="95"/>
          <w:sz w:val="10"/>
        </w:rPr>
        <w:t> </w:t>
      </w:r>
      <w:r>
        <w:rPr>
          <w:rFonts w:ascii="Arial"/>
          <w:color w:val="231F20"/>
          <w:w w:val="95"/>
          <w:sz w:val="10"/>
        </w:rPr>
        <w:t>the</w:t>
      </w:r>
      <w:r>
        <w:rPr>
          <w:rFonts w:ascii="Arial"/>
          <w:color w:val="231F20"/>
          <w:spacing w:val="-15"/>
          <w:w w:val="95"/>
          <w:sz w:val="10"/>
        </w:rPr>
        <w:t> </w:t>
      </w:r>
      <w:r>
        <w:rPr>
          <w:rFonts w:ascii="Arial"/>
          <w:color w:val="231F20"/>
          <w:w w:val="95"/>
          <w:sz w:val="10"/>
        </w:rPr>
        <w:t>election</w:t>
      </w:r>
      <w:r>
        <w:rPr>
          <w:rFonts w:ascii="Arial"/>
          <w:color w:val="231F20"/>
          <w:spacing w:val="-16"/>
          <w:w w:val="95"/>
          <w:sz w:val="10"/>
        </w:rPr>
        <w:t> </w:t>
      </w:r>
      <w:r>
        <w:rPr>
          <w:rFonts w:ascii="Arial"/>
          <w:color w:val="231F20"/>
          <w:w w:val="95"/>
          <w:sz w:val="10"/>
        </w:rPr>
        <w:t>of</w:t>
      </w:r>
      <w:r>
        <w:rPr>
          <w:rFonts w:ascii="Arial"/>
          <w:color w:val="231F20"/>
          <w:spacing w:val="-15"/>
          <w:w w:val="95"/>
          <w:sz w:val="10"/>
        </w:rPr>
        <w:t> </w:t>
      </w:r>
      <w:r>
        <w:rPr>
          <w:rFonts w:ascii="Arial"/>
          <w:color w:val="231F20"/>
          <w:w w:val="95"/>
          <w:sz w:val="10"/>
        </w:rPr>
        <w:t>Ido</w:t>
      </w:r>
      <w:r>
        <w:rPr>
          <w:rFonts w:ascii="Arial"/>
          <w:color w:val="231F20"/>
          <w:spacing w:val="-16"/>
          <w:w w:val="95"/>
          <w:sz w:val="10"/>
        </w:rPr>
        <w:t> </w:t>
      </w:r>
      <w:r>
        <w:rPr>
          <w:rFonts w:ascii="Arial"/>
          <w:color w:val="231F20"/>
          <w:w w:val="95"/>
          <w:sz w:val="10"/>
        </w:rPr>
        <w:t>Nouberger</w:t>
      </w:r>
      <w:r>
        <w:rPr>
          <w:rFonts w:ascii="Arial"/>
          <w:color w:val="231F20"/>
          <w:spacing w:val="-16"/>
          <w:w w:val="95"/>
          <w:sz w:val="10"/>
        </w:rPr>
        <w:t> </w:t>
      </w:r>
      <w:r>
        <w:rPr>
          <w:rFonts w:ascii="Arial"/>
          <w:color w:val="231F20"/>
          <w:w w:val="95"/>
          <w:sz w:val="10"/>
        </w:rPr>
        <w:t>as</w:t>
      </w:r>
      <w:r>
        <w:rPr>
          <w:rFonts w:ascii="Arial"/>
          <w:color w:val="231F20"/>
          <w:spacing w:val="-15"/>
          <w:w w:val="95"/>
          <w:sz w:val="10"/>
        </w:rPr>
        <w:t> </w:t>
      </w:r>
      <w:r>
        <w:rPr>
          <w:rFonts w:ascii="Arial"/>
          <w:color w:val="231F20"/>
          <w:w w:val="95"/>
          <w:sz w:val="10"/>
        </w:rPr>
        <w:t>a</w:t>
      </w:r>
      <w:r>
        <w:rPr>
          <w:rFonts w:ascii="Arial"/>
          <w:color w:val="231F20"/>
          <w:spacing w:val="-16"/>
          <w:w w:val="95"/>
          <w:sz w:val="10"/>
        </w:rPr>
        <w:t> </w:t>
      </w:r>
      <w:r>
        <w:rPr>
          <w:rFonts w:ascii="Arial"/>
          <w:color w:val="231F20"/>
          <w:w w:val="95"/>
          <w:sz w:val="10"/>
        </w:rPr>
        <w:t>director</w:t>
      </w:r>
      <w:r>
        <w:rPr>
          <w:rFonts w:ascii="Arial"/>
          <w:color w:val="231F20"/>
          <w:spacing w:val="-15"/>
          <w:w w:val="95"/>
          <w:sz w:val="10"/>
        </w:rPr>
        <w:t> </w:t>
      </w:r>
      <w:r>
        <w:rPr>
          <w:rFonts w:ascii="Arial"/>
          <w:color w:val="231F20"/>
          <w:w w:val="95"/>
          <w:sz w:val="10"/>
        </w:rPr>
        <w:t>of</w:t>
      </w:r>
      <w:r>
        <w:rPr>
          <w:rFonts w:ascii="Arial"/>
          <w:color w:val="231F20"/>
          <w:spacing w:val="-16"/>
          <w:w w:val="95"/>
          <w:sz w:val="10"/>
        </w:rPr>
        <w:t> </w:t>
      </w:r>
      <w:r>
        <w:rPr>
          <w:rFonts w:ascii="Arial"/>
          <w:color w:val="231F20"/>
          <w:w w:val="95"/>
          <w:sz w:val="10"/>
        </w:rPr>
        <w:t>the</w:t>
      </w:r>
      <w:r>
        <w:rPr>
          <w:rFonts w:ascii="Arial"/>
          <w:color w:val="231F20"/>
          <w:spacing w:val="-15"/>
          <w:w w:val="95"/>
          <w:sz w:val="10"/>
        </w:rPr>
        <w:t> </w:t>
      </w:r>
      <w:r>
        <w:rPr>
          <w:rFonts w:ascii="Arial"/>
          <w:color w:val="231F20"/>
          <w:w w:val="95"/>
          <w:sz w:val="10"/>
        </w:rPr>
        <w:t>Board,</w:t>
      </w:r>
      <w:r>
        <w:rPr>
          <w:rFonts w:ascii="Arial"/>
          <w:color w:val="231F20"/>
          <w:spacing w:val="-16"/>
          <w:w w:val="95"/>
          <w:sz w:val="10"/>
        </w:rPr>
        <w:t> </w:t>
      </w:r>
      <w:r>
        <w:rPr>
          <w:rFonts w:ascii="Arial"/>
          <w:color w:val="231F20"/>
          <w:w w:val="95"/>
          <w:sz w:val="10"/>
        </w:rPr>
        <w:t>to</w:t>
      </w:r>
      <w:r>
        <w:rPr>
          <w:rFonts w:ascii="Arial"/>
          <w:color w:val="231F20"/>
          <w:spacing w:val="-16"/>
          <w:w w:val="95"/>
          <w:sz w:val="10"/>
        </w:rPr>
        <w:t> </w:t>
      </w:r>
      <w:r>
        <w:rPr>
          <w:rFonts w:ascii="Arial"/>
          <w:color w:val="231F20"/>
          <w:spacing w:val="-4"/>
          <w:w w:val="95"/>
          <w:sz w:val="10"/>
        </w:rPr>
        <w:t>serve </w:t>
      </w:r>
      <w:r>
        <w:rPr>
          <w:rFonts w:ascii="Arial"/>
          <w:color w:val="231F20"/>
          <w:w w:val="95"/>
          <w:sz w:val="10"/>
        </w:rPr>
        <w:t>until the next annual meeting of</w:t>
      </w:r>
      <w:r>
        <w:rPr>
          <w:rFonts w:ascii="Arial"/>
          <w:color w:val="231F20"/>
          <w:spacing w:val="-14"/>
          <w:w w:val="95"/>
          <w:sz w:val="10"/>
        </w:rPr>
        <w:t> </w:t>
      </w:r>
      <w:r>
        <w:rPr>
          <w:rFonts w:ascii="Arial"/>
          <w:color w:val="231F20"/>
          <w:w w:val="95"/>
          <w:sz w:val="10"/>
        </w:rPr>
        <w:t>shareholders.</w:t>
      </w:r>
    </w:p>
    <w:p>
      <w:pPr>
        <w:pStyle w:val="ListParagraph"/>
        <w:numPr>
          <w:ilvl w:val="0"/>
          <w:numId w:val="13"/>
        </w:numPr>
        <w:tabs>
          <w:tab w:pos="379" w:val="left" w:leader="none"/>
        </w:tabs>
        <w:spacing w:line="249" w:lineRule="auto" w:before="68" w:after="0"/>
        <w:ind w:left="378" w:right="0" w:hanging="225"/>
        <w:jc w:val="both"/>
        <w:rPr>
          <w:rFonts w:ascii="Arial"/>
          <w:sz w:val="10"/>
        </w:rPr>
      </w:pPr>
      <w:r>
        <w:rPr>
          <w:rFonts w:ascii="Arial"/>
          <w:color w:val="231F20"/>
          <w:w w:val="95"/>
          <w:sz w:val="10"/>
        </w:rPr>
        <w:t>To</w:t>
      </w:r>
      <w:r>
        <w:rPr>
          <w:rFonts w:ascii="Arial"/>
          <w:color w:val="231F20"/>
          <w:spacing w:val="-18"/>
          <w:w w:val="95"/>
          <w:sz w:val="10"/>
        </w:rPr>
        <w:t> </w:t>
      </w:r>
      <w:r>
        <w:rPr>
          <w:rFonts w:ascii="Arial"/>
          <w:color w:val="231F20"/>
          <w:w w:val="95"/>
          <w:sz w:val="10"/>
        </w:rPr>
        <w:t>approve</w:t>
      </w:r>
      <w:r>
        <w:rPr>
          <w:rFonts w:ascii="Arial"/>
          <w:color w:val="231F20"/>
          <w:spacing w:val="-17"/>
          <w:w w:val="95"/>
          <w:sz w:val="10"/>
        </w:rPr>
        <w:t> </w:t>
      </w:r>
      <w:r>
        <w:rPr>
          <w:rFonts w:ascii="Arial"/>
          <w:color w:val="231F20"/>
          <w:w w:val="95"/>
          <w:sz w:val="10"/>
        </w:rPr>
        <w:t>the</w:t>
      </w:r>
      <w:r>
        <w:rPr>
          <w:rFonts w:ascii="Arial"/>
          <w:color w:val="231F20"/>
          <w:spacing w:val="-17"/>
          <w:w w:val="95"/>
          <w:sz w:val="10"/>
        </w:rPr>
        <w:t> </w:t>
      </w:r>
      <w:r>
        <w:rPr>
          <w:rFonts w:ascii="Arial"/>
          <w:color w:val="231F20"/>
          <w:w w:val="95"/>
          <w:sz w:val="10"/>
        </w:rPr>
        <w:t>election</w:t>
      </w:r>
      <w:r>
        <w:rPr>
          <w:rFonts w:ascii="Arial"/>
          <w:color w:val="231F20"/>
          <w:spacing w:val="-17"/>
          <w:w w:val="95"/>
          <w:sz w:val="10"/>
        </w:rPr>
        <w:t> </w:t>
      </w:r>
      <w:r>
        <w:rPr>
          <w:rFonts w:ascii="Arial"/>
          <w:color w:val="231F20"/>
          <w:w w:val="95"/>
          <w:sz w:val="10"/>
        </w:rPr>
        <w:t>of</w:t>
      </w:r>
      <w:r>
        <w:rPr>
          <w:rFonts w:ascii="Arial"/>
          <w:color w:val="231F20"/>
          <w:spacing w:val="-17"/>
          <w:w w:val="95"/>
          <w:sz w:val="10"/>
        </w:rPr>
        <w:t> </w:t>
      </w:r>
      <w:r>
        <w:rPr>
          <w:rFonts w:ascii="Arial"/>
          <w:color w:val="231F20"/>
          <w:w w:val="95"/>
          <w:sz w:val="10"/>
        </w:rPr>
        <w:t>Nir</w:t>
      </w:r>
      <w:r>
        <w:rPr>
          <w:rFonts w:ascii="Arial"/>
          <w:color w:val="231F20"/>
          <w:spacing w:val="-17"/>
          <w:w w:val="95"/>
          <w:sz w:val="10"/>
        </w:rPr>
        <w:t> </w:t>
      </w:r>
      <w:r>
        <w:rPr>
          <w:rFonts w:ascii="Arial"/>
          <w:color w:val="231F20"/>
          <w:w w:val="95"/>
          <w:sz w:val="10"/>
        </w:rPr>
        <w:t>Rotenberg</w:t>
      </w:r>
      <w:r>
        <w:rPr>
          <w:rFonts w:ascii="Arial"/>
          <w:color w:val="231F20"/>
          <w:spacing w:val="-17"/>
          <w:w w:val="95"/>
          <w:sz w:val="10"/>
        </w:rPr>
        <w:t> </w:t>
      </w:r>
      <w:r>
        <w:rPr>
          <w:rFonts w:ascii="Arial"/>
          <w:color w:val="231F20"/>
          <w:w w:val="95"/>
          <w:sz w:val="10"/>
        </w:rPr>
        <w:t>as</w:t>
      </w:r>
      <w:r>
        <w:rPr>
          <w:rFonts w:ascii="Arial"/>
          <w:color w:val="231F20"/>
          <w:spacing w:val="-18"/>
          <w:w w:val="95"/>
          <w:sz w:val="10"/>
        </w:rPr>
        <w:t> </w:t>
      </w:r>
      <w:r>
        <w:rPr>
          <w:rFonts w:ascii="Arial"/>
          <w:color w:val="231F20"/>
          <w:w w:val="95"/>
          <w:sz w:val="10"/>
        </w:rPr>
        <w:t>a</w:t>
      </w:r>
      <w:r>
        <w:rPr>
          <w:rFonts w:ascii="Arial"/>
          <w:color w:val="231F20"/>
          <w:spacing w:val="-17"/>
          <w:w w:val="95"/>
          <w:sz w:val="10"/>
        </w:rPr>
        <w:t> </w:t>
      </w:r>
      <w:r>
        <w:rPr>
          <w:rFonts w:ascii="Arial"/>
          <w:color w:val="231F20"/>
          <w:w w:val="95"/>
          <w:sz w:val="10"/>
        </w:rPr>
        <w:t>director,</w:t>
      </w:r>
      <w:r>
        <w:rPr>
          <w:rFonts w:ascii="Arial"/>
          <w:color w:val="231F20"/>
          <w:spacing w:val="-17"/>
          <w:w w:val="95"/>
          <w:sz w:val="10"/>
        </w:rPr>
        <w:t> </w:t>
      </w:r>
      <w:r>
        <w:rPr>
          <w:rFonts w:ascii="Arial"/>
          <w:color w:val="231F20"/>
          <w:w w:val="95"/>
          <w:sz w:val="10"/>
        </w:rPr>
        <w:t>to</w:t>
      </w:r>
      <w:r>
        <w:rPr>
          <w:rFonts w:ascii="Arial"/>
          <w:color w:val="231F20"/>
          <w:spacing w:val="-17"/>
          <w:w w:val="95"/>
          <w:sz w:val="10"/>
        </w:rPr>
        <w:t> </w:t>
      </w:r>
      <w:r>
        <w:rPr>
          <w:rFonts w:ascii="Arial"/>
          <w:color w:val="231F20"/>
          <w:w w:val="95"/>
          <w:sz w:val="10"/>
        </w:rPr>
        <w:t>serve</w:t>
      </w:r>
      <w:r>
        <w:rPr>
          <w:rFonts w:ascii="Arial"/>
          <w:color w:val="231F20"/>
          <w:spacing w:val="-17"/>
          <w:w w:val="95"/>
          <w:sz w:val="10"/>
        </w:rPr>
        <w:t> </w:t>
      </w:r>
      <w:r>
        <w:rPr>
          <w:rFonts w:ascii="Arial"/>
          <w:color w:val="231F20"/>
          <w:w w:val="95"/>
          <w:sz w:val="10"/>
        </w:rPr>
        <w:t>until</w:t>
      </w:r>
      <w:r>
        <w:rPr>
          <w:rFonts w:ascii="Arial"/>
          <w:color w:val="231F20"/>
          <w:spacing w:val="-17"/>
          <w:w w:val="95"/>
          <w:sz w:val="10"/>
        </w:rPr>
        <w:t> </w:t>
      </w:r>
      <w:r>
        <w:rPr>
          <w:rFonts w:ascii="Arial"/>
          <w:color w:val="231F20"/>
          <w:w w:val="95"/>
          <w:sz w:val="10"/>
        </w:rPr>
        <w:t>the</w:t>
      </w:r>
      <w:r>
        <w:rPr>
          <w:rFonts w:ascii="Arial"/>
          <w:color w:val="231F20"/>
          <w:spacing w:val="-17"/>
          <w:w w:val="95"/>
          <w:sz w:val="10"/>
        </w:rPr>
        <w:t> </w:t>
      </w:r>
      <w:r>
        <w:rPr>
          <w:rFonts w:ascii="Arial"/>
          <w:color w:val="231F20"/>
          <w:w w:val="95"/>
          <w:sz w:val="10"/>
        </w:rPr>
        <w:t>next annual meeting of</w:t>
      </w:r>
      <w:r>
        <w:rPr>
          <w:rFonts w:ascii="Arial"/>
          <w:color w:val="231F20"/>
          <w:spacing w:val="-4"/>
          <w:w w:val="95"/>
          <w:sz w:val="10"/>
        </w:rPr>
        <w:t> </w:t>
      </w:r>
      <w:r>
        <w:rPr>
          <w:rFonts w:ascii="Arial"/>
          <w:color w:val="231F20"/>
          <w:w w:val="95"/>
          <w:sz w:val="10"/>
        </w:rPr>
        <w:t>shareholders.</w:t>
      </w:r>
    </w:p>
    <w:p>
      <w:pPr>
        <w:pStyle w:val="ListParagraph"/>
        <w:numPr>
          <w:ilvl w:val="0"/>
          <w:numId w:val="13"/>
        </w:numPr>
        <w:tabs>
          <w:tab w:pos="379" w:val="left" w:leader="none"/>
        </w:tabs>
        <w:spacing w:line="249" w:lineRule="auto" w:before="69" w:after="0"/>
        <w:ind w:left="378" w:right="0" w:hanging="225"/>
        <w:jc w:val="both"/>
        <w:rPr>
          <w:rFonts w:ascii="Arial" w:hAnsi="Arial"/>
          <w:sz w:val="10"/>
        </w:rPr>
      </w:pPr>
      <w:r>
        <w:rPr>
          <w:rFonts w:ascii="Arial" w:hAnsi="Arial"/>
          <w:color w:val="231F20"/>
          <w:w w:val="90"/>
          <w:sz w:val="10"/>
        </w:rPr>
        <w:t>To approve the Company’s Compensation Policy for officers and directors </w:t>
      </w:r>
      <w:r>
        <w:rPr>
          <w:rFonts w:ascii="Arial" w:hAnsi="Arial"/>
          <w:color w:val="231F20"/>
          <w:w w:val="95"/>
          <w:sz w:val="10"/>
        </w:rPr>
        <w:t>for</w:t>
      </w:r>
      <w:r>
        <w:rPr>
          <w:rFonts w:ascii="Arial" w:hAnsi="Arial"/>
          <w:color w:val="231F20"/>
          <w:spacing w:val="-10"/>
          <w:w w:val="95"/>
          <w:sz w:val="10"/>
        </w:rPr>
        <w:t> </w:t>
      </w:r>
      <w:r>
        <w:rPr>
          <w:rFonts w:ascii="Arial" w:hAnsi="Arial"/>
          <w:color w:val="231F20"/>
          <w:w w:val="95"/>
          <w:sz w:val="10"/>
        </w:rPr>
        <w:t>an</w:t>
      </w:r>
      <w:r>
        <w:rPr>
          <w:rFonts w:ascii="Arial" w:hAnsi="Arial"/>
          <w:color w:val="231F20"/>
          <w:spacing w:val="-10"/>
          <w:w w:val="95"/>
          <w:sz w:val="10"/>
        </w:rPr>
        <w:t> </w:t>
      </w:r>
      <w:r>
        <w:rPr>
          <w:rFonts w:ascii="Arial" w:hAnsi="Arial"/>
          <w:color w:val="231F20"/>
          <w:w w:val="95"/>
          <w:sz w:val="10"/>
        </w:rPr>
        <w:t>additional</w:t>
      </w:r>
      <w:r>
        <w:rPr>
          <w:rFonts w:ascii="Arial" w:hAnsi="Arial"/>
          <w:color w:val="231F20"/>
          <w:spacing w:val="-10"/>
          <w:w w:val="95"/>
          <w:sz w:val="10"/>
        </w:rPr>
        <w:t> </w:t>
      </w:r>
      <w:r>
        <w:rPr>
          <w:rFonts w:ascii="Arial" w:hAnsi="Arial"/>
          <w:color w:val="231F20"/>
          <w:w w:val="95"/>
          <w:sz w:val="10"/>
        </w:rPr>
        <w:t>period</w:t>
      </w:r>
      <w:r>
        <w:rPr>
          <w:rFonts w:ascii="Arial" w:hAnsi="Arial"/>
          <w:color w:val="231F20"/>
          <w:spacing w:val="-10"/>
          <w:w w:val="95"/>
          <w:sz w:val="10"/>
        </w:rPr>
        <w:t> </w:t>
      </w:r>
      <w:r>
        <w:rPr>
          <w:rFonts w:ascii="Arial" w:hAnsi="Arial"/>
          <w:color w:val="231F20"/>
          <w:w w:val="95"/>
          <w:sz w:val="10"/>
        </w:rPr>
        <w:t>of</w:t>
      </w:r>
      <w:r>
        <w:rPr>
          <w:rFonts w:ascii="Arial" w:hAnsi="Arial"/>
          <w:color w:val="231F20"/>
          <w:spacing w:val="-10"/>
          <w:w w:val="95"/>
          <w:sz w:val="10"/>
        </w:rPr>
        <w:t> </w:t>
      </w:r>
      <w:r>
        <w:rPr>
          <w:rFonts w:ascii="Arial" w:hAnsi="Arial"/>
          <w:color w:val="231F20"/>
          <w:w w:val="95"/>
          <w:sz w:val="10"/>
        </w:rPr>
        <w:t>three</w:t>
      </w:r>
      <w:r>
        <w:rPr>
          <w:rFonts w:ascii="Arial" w:hAnsi="Arial"/>
          <w:color w:val="231F20"/>
          <w:spacing w:val="-10"/>
          <w:w w:val="95"/>
          <w:sz w:val="10"/>
        </w:rPr>
        <w:t> </w:t>
      </w:r>
      <w:r>
        <w:rPr>
          <w:rFonts w:ascii="Arial" w:hAnsi="Arial"/>
          <w:color w:val="231F20"/>
          <w:w w:val="95"/>
          <w:sz w:val="10"/>
        </w:rPr>
        <w:t>years</w:t>
      </w:r>
      <w:r>
        <w:rPr>
          <w:rFonts w:ascii="Arial" w:hAnsi="Arial"/>
          <w:color w:val="231F20"/>
          <w:spacing w:val="-10"/>
          <w:w w:val="95"/>
          <w:sz w:val="10"/>
        </w:rPr>
        <w:t> </w:t>
      </w:r>
      <w:r>
        <w:rPr>
          <w:rFonts w:ascii="Arial" w:hAnsi="Arial"/>
          <w:color w:val="231F20"/>
          <w:w w:val="95"/>
          <w:sz w:val="10"/>
        </w:rPr>
        <w:t>from</w:t>
      </w:r>
      <w:r>
        <w:rPr>
          <w:rFonts w:ascii="Arial" w:hAnsi="Arial"/>
          <w:color w:val="231F20"/>
          <w:spacing w:val="-10"/>
          <w:w w:val="95"/>
          <w:sz w:val="10"/>
        </w:rPr>
        <w:t> </w:t>
      </w:r>
      <w:r>
        <w:rPr>
          <w:rFonts w:ascii="Arial" w:hAnsi="Arial"/>
          <w:color w:val="231F20"/>
          <w:w w:val="95"/>
          <w:sz w:val="10"/>
        </w:rPr>
        <w:t>the</w:t>
      </w:r>
      <w:r>
        <w:rPr>
          <w:rFonts w:ascii="Arial" w:hAnsi="Arial"/>
          <w:color w:val="231F20"/>
          <w:spacing w:val="-10"/>
          <w:w w:val="95"/>
          <w:sz w:val="10"/>
        </w:rPr>
        <w:t> </w:t>
      </w:r>
      <w:r>
        <w:rPr>
          <w:rFonts w:ascii="Arial" w:hAnsi="Arial"/>
          <w:color w:val="231F20"/>
          <w:w w:val="95"/>
          <w:sz w:val="10"/>
        </w:rPr>
        <w:t>date</w:t>
      </w:r>
      <w:r>
        <w:rPr>
          <w:rFonts w:ascii="Arial" w:hAnsi="Arial"/>
          <w:color w:val="231F20"/>
          <w:spacing w:val="-10"/>
          <w:w w:val="95"/>
          <w:sz w:val="10"/>
        </w:rPr>
        <w:t> </w:t>
      </w:r>
      <w:r>
        <w:rPr>
          <w:rFonts w:ascii="Arial" w:hAnsi="Arial"/>
          <w:color w:val="231F20"/>
          <w:w w:val="95"/>
          <w:sz w:val="10"/>
        </w:rPr>
        <w:t>of</w:t>
      </w:r>
      <w:r>
        <w:rPr>
          <w:rFonts w:ascii="Arial" w:hAnsi="Arial"/>
          <w:color w:val="231F20"/>
          <w:spacing w:val="-10"/>
          <w:w w:val="95"/>
          <w:sz w:val="10"/>
        </w:rPr>
        <w:t> </w:t>
      </w:r>
      <w:r>
        <w:rPr>
          <w:rFonts w:ascii="Arial" w:hAnsi="Arial"/>
          <w:color w:val="231F20"/>
          <w:w w:val="95"/>
          <w:sz w:val="10"/>
        </w:rPr>
        <w:t>the</w:t>
      </w:r>
      <w:r>
        <w:rPr>
          <w:rFonts w:ascii="Arial" w:hAnsi="Arial"/>
          <w:color w:val="231F20"/>
          <w:spacing w:val="-10"/>
          <w:w w:val="95"/>
          <w:sz w:val="10"/>
        </w:rPr>
        <w:t> </w:t>
      </w:r>
      <w:r>
        <w:rPr>
          <w:rFonts w:ascii="Arial" w:hAnsi="Arial"/>
          <w:color w:val="231F20"/>
          <w:w w:val="95"/>
          <w:sz w:val="10"/>
        </w:rPr>
        <w:t>Annual</w:t>
      </w:r>
      <w:r>
        <w:rPr>
          <w:rFonts w:ascii="Arial" w:hAnsi="Arial"/>
          <w:color w:val="231F20"/>
          <w:spacing w:val="-10"/>
          <w:w w:val="95"/>
          <w:sz w:val="10"/>
        </w:rPr>
        <w:t> </w:t>
      </w:r>
      <w:r>
        <w:rPr>
          <w:rFonts w:ascii="Arial" w:hAnsi="Arial"/>
          <w:color w:val="231F20"/>
          <w:w w:val="95"/>
          <w:sz w:val="10"/>
        </w:rPr>
        <w:t>General </w:t>
      </w:r>
      <w:r>
        <w:rPr>
          <w:rFonts w:ascii="Arial" w:hAnsi="Arial"/>
          <w:color w:val="231F20"/>
          <w:w w:val="90"/>
          <w:sz w:val="10"/>
        </w:rPr>
        <w:t>Meeting,</w:t>
      </w:r>
      <w:r>
        <w:rPr>
          <w:rFonts w:ascii="Arial" w:hAnsi="Arial"/>
          <w:color w:val="231F20"/>
          <w:spacing w:val="-9"/>
          <w:w w:val="90"/>
          <w:sz w:val="10"/>
        </w:rPr>
        <w:t> </w:t>
      </w:r>
      <w:r>
        <w:rPr>
          <w:rFonts w:ascii="Arial" w:hAnsi="Arial"/>
          <w:color w:val="231F20"/>
          <w:w w:val="90"/>
          <w:sz w:val="10"/>
        </w:rPr>
        <w:t>with</w:t>
      </w:r>
      <w:r>
        <w:rPr>
          <w:rFonts w:ascii="Arial" w:hAnsi="Arial"/>
          <w:color w:val="231F20"/>
          <w:spacing w:val="-8"/>
          <w:w w:val="90"/>
          <w:sz w:val="10"/>
        </w:rPr>
        <w:t> </w:t>
      </w:r>
      <w:r>
        <w:rPr>
          <w:rFonts w:ascii="Arial" w:hAnsi="Arial"/>
          <w:color w:val="231F20"/>
          <w:w w:val="90"/>
          <w:sz w:val="10"/>
        </w:rPr>
        <w:t>certain</w:t>
      </w:r>
      <w:r>
        <w:rPr>
          <w:rFonts w:ascii="Arial" w:hAnsi="Arial"/>
          <w:color w:val="231F20"/>
          <w:spacing w:val="-9"/>
          <w:w w:val="90"/>
          <w:sz w:val="10"/>
        </w:rPr>
        <w:t> </w:t>
      </w:r>
      <w:r>
        <w:rPr>
          <w:rFonts w:ascii="Arial" w:hAnsi="Arial"/>
          <w:color w:val="231F20"/>
          <w:w w:val="90"/>
          <w:sz w:val="10"/>
        </w:rPr>
        <w:t>changes</w:t>
      </w:r>
      <w:r>
        <w:rPr>
          <w:rFonts w:ascii="Arial" w:hAnsi="Arial"/>
          <w:color w:val="231F20"/>
          <w:spacing w:val="-8"/>
          <w:w w:val="90"/>
          <w:sz w:val="10"/>
        </w:rPr>
        <w:t> </w:t>
      </w:r>
      <w:r>
        <w:rPr>
          <w:rFonts w:ascii="Arial" w:hAnsi="Arial"/>
          <w:color w:val="231F20"/>
          <w:w w:val="90"/>
          <w:sz w:val="10"/>
        </w:rPr>
        <w:t>thereto</w:t>
      </w:r>
      <w:r>
        <w:rPr>
          <w:rFonts w:ascii="Arial" w:hAnsi="Arial"/>
          <w:color w:val="231F20"/>
          <w:spacing w:val="-8"/>
          <w:w w:val="90"/>
          <w:sz w:val="10"/>
        </w:rPr>
        <w:t> </w:t>
      </w:r>
      <w:r>
        <w:rPr>
          <w:rFonts w:ascii="Arial" w:hAnsi="Arial"/>
          <w:color w:val="231F20"/>
          <w:w w:val="90"/>
          <w:sz w:val="10"/>
        </w:rPr>
        <w:t>as</w:t>
      </w:r>
      <w:r>
        <w:rPr>
          <w:rFonts w:ascii="Arial" w:hAnsi="Arial"/>
          <w:color w:val="231F20"/>
          <w:spacing w:val="-9"/>
          <w:w w:val="90"/>
          <w:sz w:val="10"/>
        </w:rPr>
        <w:t> </w:t>
      </w:r>
      <w:r>
        <w:rPr>
          <w:rFonts w:ascii="Arial" w:hAnsi="Arial"/>
          <w:color w:val="231F20"/>
          <w:w w:val="90"/>
          <w:sz w:val="10"/>
        </w:rPr>
        <w:t>described</w:t>
      </w:r>
      <w:r>
        <w:rPr>
          <w:rFonts w:ascii="Arial" w:hAnsi="Arial"/>
          <w:color w:val="231F20"/>
          <w:spacing w:val="-8"/>
          <w:w w:val="90"/>
          <w:sz w:val="10"/>
        </w:rPr>
        <w:t> </w:t>
      </w:r>
      <w:r>
        <w:rPr>
          <w:rFonts w:ascii="Arial" w:hAnsi="Arial"/>
          <w:color w:val="231F20"/>
          <w:w w:val="90"/>
          <w:sz w:val="10"/>
        </w:rPr>
        <w:t>in</w:t>
      </w:r>
      <w:r>
        <w:rPr>
          <w:rFonts w:ascii="Arial" w:hAnsi="Arial"/>
          <w:color w:val="231F20"/>
          <w:spacing w:val="-8"/>
          <w:w w:val="90"/>
          <w:sz w:val="10"/>
        </w:rPr>
        <w:t> </w:t>
      </w:r>
      <w:r>
        <w:rPr>
          <w:rFonts w:ascii="Arial" w:hAnsi="Arial"/>
          <w:color w:val="231F20"/>
          <w:w w:val="90"/>
          <w:sz w:val="10"/>
        </w:rPr>
        <w:t>Proposal</w:t>
      </w:r>
      <w:r>
        <w:rPr>
          <w:rFonts w:ascii="Arial" w:hAnsi="Arial"/>
          <w:color w:val="231F20"/>
          <w:spacing w:val="-9"/>
          <w:w w:val="90"/>
          <w:sz w:val="10"/>
        </w:rPr>
        <w:t> </w:t>
      </w:r>
      <w:r>
        <w:rPr>
          <w:rFonts w:ascii="Arial" w:hAnsi="Arial"/>
          <w:color w:val="231F20"/>
          <w:w w:val="90"/>
          <w:sz w:val="10"/>
        </w:rPr>
        <w:t>5</w:t>
      </w:r>
      <w:r>
        <w:rPr>
          <w:rFonts w:ascii="Arial" w:hAnsi="Arial"/>
          <w:color w:val="231F20"/>
          <w:spacing w:val="-8"/>
          <w:w w:val="90"/>
          <w:sz w:val="10"/>
        </w:rPr>
        <w:t> </w:t>
      </w:r>
      <w:r>
        <w:rPr>
          <w:rFonts w:ascii="Arial" w:hAnsi="Arial"/>
          <w:color w:val="231F20"/>
          <w:w w:val="90"/>
          <w:sz w:val="10"/>
        </w:rPr>
        <w:t>of</w:t>
      </w:r>
      <w:r>
        <w:rPr>
          <w:rFonts w:ascii="Arial" w:hAnsi="Arial"/>
          <w:color w:val="231F20"/>
          <w:spacing w:val="-9"/>
          <w:w w:val="90"/>
          <w:sz w:val="10"/>
        </w:rPr>
        <w:t> </w:t>
      </w:r>
      <w:r>
        <w:rPr>
          <w:rFonts w:ascii="Arial" w:hAnsi="Arial"/>
          <w:color w:val="231F20"/>
          <w:w w:val="90"/>
          <w:sz w:val="10"/>
        </w:rPr>
        <w:t>the</w:t>
      </w:r>
      <w:r>
        <w:rPr>
          <w:rFonts w:ascii="Arial" w:hAnsi="Arial"/>
          <w:color w:val="231F20"/>
          <w:spacing w:val="-8"/>
          <w:w w:val="90"/>
          <w:sz w:val="10"/>
        </w:rPr>
        <w:t> </w:t>
      </w:r>
      <w:r>
        <w:rPr>
          <w:rFonts w:ascii="Arial" w:hAnsi="Arial"/>
          <w:color w:val="231F20"/>
          <w:spacing w:val="-3"/>
          <w:w w:val="90"/>
          <w:sz w:val="10"/>
        </w:rPr>
        <w:t>Proxy </w:t>
      </w:r>
      <w:r>
        <w:rPr>
          <w:rFonts w:ascii="Arial" w:hAnsi="Arial"/>
          <w:color w:val="231F20"/>
          <w:w w:val="95"/>
          <w:sz w:val="10"/>
        </w:rPr>
        <w:t>Statement.</w:t>
      </w:r>
    </w:p>
    <w:p>
      <w:pPr>
        <w:spacing w:line="249" w:lineRule="auto" w:before="69"/>
        <w:ind w:left="378" w:right="-11" w:hanging="225"/>
        <w:jc w:val="left"/>
        <w:rPr>
          <w:rFonts w:ascii="Arial" w:hAnsi="Arial"/>
          <w:sz w:val="10"/>
        </w:rPr>
      </w:pPr>
      <w:r>
        <w:rPr>
          <w:rFonts w:ascii="Arial" w:hAnsi="Arial"/>
          <w:color w:val="231F20"/>
          <w:w w:val="95"/>
          <w:sz w:val="10"/>
        </w:rPr>
        <w:t>5(a).</w:t>
      </w:r>
      <w:r>
        <w:rPr>
          <w:rFonts w:ascii="Arial" w:hAnsi="Arial"/>
          <w:color w:val="231F20"/>
          <w:spacing w:val="-5"/>
          <w:w w:val="95"/>
          <w:sz w:val="10"/>
        </w:rPr>
        <w:t> </w:t>
      </w:r>
      <w:r>
        <w:rPr>
          <w:rFonts w:ascii="Arial" w:hAnsi="Arial"/>
          <w:color w:val="231F20"/>
          <w:w w:val="95"/>
          <w:sz w:val="10"/>
        </w:rPr>
        <w:t>Are</w:t>
      </w:r>
      <w:r>
        <w:rPr>
          <w:rFonts w:ascii="Arial" w:hAnsi="Arial"/>
          <w:color w:val="231F20"/>
          <w:spacing w:val="-15"/>
          <w:w w:val="95"/>
          <w:sz w:val="10"/>
        </w:rPr>
        <w:t> </w:t>
      </w:r>
      <w:r>
        <w:rPr>
          <w:rFonts w:ascii="Arial" w:hAnsi="Arial"/>
          <w:color w:val="231F20"/>
          <w:w w:val="95"/>
          <w:sz w:val="10"/>
        </w:rPr>
        <w:t>you</w:t>
      </w:r>
      <w:r>
        <w:rPr>
          <w:rFonts w:ascii="Arial" w:hAnsi="Arial"/>
          <w:color w:val="231F20"/>
          <w:spacing w:val="-14"/>
          <w:w w:val="95"/>
          <w:sz w:val="10"/>
        </w:rPr>
        <w:t> </w:t>
      </w:r>
      <w:r>
        <w:rPr>
          <w:rFonts w:ascii="Arial" w:hAnsi="Arial"/>
          <w:color w:val="231F20"/>
          <w:w w:val="95"/>
          <w:sz w:val="10"/>
        </w:rPr>
        <w:t>a</w:t>
      </w:r>
      <w:r>
        <w:rPr>
          <w:rFonts w:ascii="Arial" w:hAnsi="Arial"/>
          <w:color w:val="231F20"/>
          <w:spacing w:val="-15"/>
          <w:w w:val="95"/>
          <w:sz w:val="10"/>
        </w:rPr>
        <w:t> </w:t>
      </w:r>
      <w:r>
        <w:rPr>
          <w:rFonts w:ascii="Arial" w:hAnsi="Arial"/>
          <w:color w:val="231F20"/>
          <w:w w:val="95"/>
          <w:sz w:val="10"/>
        </w:rPr>
        <w:t>“Controlling</w:t>
      </w:r>
      <w:r>
        <w:rPr>
          <w:rFonts w:ascii="Arial" w:hAnsi="Arial"/>
          <w:color w:val="231F20"/>
          <w:spacing w:val="-15"/>
          <w:w w:val="95"/>
          <w:sz w:val="10"/>
        </w:rPr>
        <w:t> </w:t>
      </w:r>
      <w:r>
        <w:rPr>
          <w:rFonts w:ascii="Arial" w:hAnsi="Arial"/>
          <w:color w:val="231F20"/>
          <w:w w:val="95"/>
          <w:sz w:val="10"/>
        </w:rPr>
        <w:t>Shareholder”[1]</w:t>
      </w:r>
      <w:r>
        <w:rPr>
          <w:rFonts w:ascii="Arial" w:hAnsi="Arial"/>
          <w:color w:val="231F20"/>
          <w:spacing w:val="-14"/>
          <w:w w:val="95"/>
          <w:sz w:val="10"/>
        </w:rPr>
        <w:t> </w:t>
      </w:r>
      <w:r>
        <w:rPr>
          <w:rFonts w:ascii="Arial" w:hAnsi="Arial"/>
          <w:color w:val="231F20"/>
          <w:w w:val="95"/>
          <w:sz w:val="10"/>
        </w:rPr>
        <w:t>or</w:t>
      </w:r>
      <w:r>
        <w:rPr>
          <w:rFonts w:ascii="Arial" w:hAnsi="Arial"/>
          <w:color w:val="231F20"/>
          <w:spacing w:val="-15"/>
          <w:w w:val="95"/>
          <w:sz w:val="10"/>
        </w:rPr>
        <w:t> </w:t>
      </w:r>
      <w:r>
        <w:rPr>
          <w:rFonts w:ascii="Arial" w:hAnsi="Arial"/>
          <w:color w:val="231F20"/>
          <w:w w:val="95"/>
          <w:sz w:val="10"/>
        </w:rPr>
        <w:t>do</w:t>
      </w:r>
      <w:r>
        <w:rPr>
          <w:rFonts w:ascii="Arial" w:hAnsi="Arial"/>
          <w:color w:val="231F20"/>
          <w:spacing w:val="-15"/>
          <w:w w:val="95"/>
          <w:sz w:val="10"/>
        </w:rPr>
        <w:t> </w:t>
      </w:r>
      <w:r>
        <w:rPr>
          <w:rFonts w:ascii="Arial" w:hAnsi="Arial"/>
          <w:color w:val="231F20"/>
          <w:w w:val="95"/>
          <w:sz w:val="10"/>
        </w:rPr>
        <w:t>you</w:t>
      </w:r>
      <w:r>
        <w:rPr>
          <w:rFonts w:ascii="Arial" w:hAnsi="Arial"/>
          <w:color w:val="231F20"/>
          <w:spacing w:val="-14"/>
          <w:w w:val="95"/>
          <w:sz w:val="10"/>
        </w:rPr>
        <w:t> </w:t>
      </w:r>
      <w:r>
        <w:rPr>
          <w:rFonts w:ascii="Arial" w:hAnsi="Arial"/>
          <w:color w:val="231F20"/>
          <w:w w:val="95"/>
          <w:sz w:val="10"/>
        </w:rPr>
        <w:t>have</w:t>
      </w:r>
      <w:r>
        <w:rPr>
          <w:rFonts w:ascii="Arial" w:hAnsi="Arial"/>
          <w:color w:val="231F20"/>
          <w:spacing w:val="-15"/>
          <w:w w:val="95"/>
          <w:sz w:val="10"/>
        </w:rPr>
        <w:t> </w:t>
      </w:r>
      <w:r>
        <w:rPr>
          <w:rFonts w:ascii="Arial" w:hAnsi="Arial"/>
          <w:color w:val="231F20"/>
          <w:w w:val="95"/>
          <w:sz w:val="10"/>
        </w:rPr>
        <w:t>a</w:t>
      </w:r>
      <w:r>
        <w:rPr>
          <w:rFonts w:ascii="Arial" w:hAnsi="Arial"/>
          <w:color w:val="231F20"/>
          <w:spacing w:val="-15"/>
          <w:w w:val="95"/>
          <w:sz w:val="10"/>
        </w:rPr>
        <w:t> </w:t>
      </w:r>
      <w:r>
        <w:rPr>
          <w:rFonts w:ascii="Arial" w:hAnsi="Arial"/>
          <w:color w:val="231F20"/>
          <w:w w:val="95"/>
          <w:sz w:val="10"/>
        </w:rPr>
        <w:t>“personal</w:t>
      </w:r>
      <w:r>
        <w:rPr>
          <w:rFonts w:ascii="Arial" w:hAnsi="Arial"/>
          <w:color w:val="231F20"/>
          <w:spacing w:val="-14"/>
          <w:w w:val="95"/>
          <w:sz w:val="10"/>
        </w:rPr>
        <w:t> </w:t>
      </w:r>
      <w:r>
        <w:rPr>
          <w:rFonts w:ascii="Arial" w:hAnsi="Arial"/>
          <w:color w:val="231F20"/>
          <w:w w:val="95"/>
          <w:sz w:val="10"/>
        </w:rPr>
        <w:t>beneﬁt</w:t>
      </w:r>
      <w:r>
        <w:rPr>
          <w:rFonts w:ascii="Arial" w:hAnsi="Arial"/>
          <w:color w:val="231F20"/>
          <w:spacing w:val="-15"/>
          <w:w w:val="95"/>
          <w:sz w:val="10"/>
        </w:rPr>
        <w:t> </w:t>
      </w:r>
      <w:r>
        <w:rPr>
          <w:rFonts w:ascii="Arial" w:hAnsi="Arial"/>
          <w:color w:val="231F20"/>
          <w:spacing w:val="-9"/>
          <w:w w:val="95"/>
          <w:sz w:val="10"/>
        </w:rPr>
        <w:t>or </w:t>
      </w:r>
      <w:r>
        <w:rPr>
          <w:rFonts w:ascii="Arial" w:hAnsi="Arial"/>
          <w:color w:val="231F20"/>
          <w:sz w:val="10"/>
        </w:rPr>
        <w:t>other interest”[1] in the</w:t>
      </w:r>
      <w:r>
        <w:rPr>
          <w:rFonts w:ascii="Arial" w:hAnsi="Arial"/>
          <w:color w:val="231F20"/>
          <w:spacing w:val="-14"/>
          <w:sz w:val="10"/>
        </w:rPr>
        <w:t> </w:t>
      </w:r>
      <w:r>
        <w:rPr>
          <w:rFonts w:ascii="Arial" w:hAnsi="Arial"/>
          <w:color w:val="231F20"/>
          <w:sz w:val="10"/>
        </w:rPr>
        <w:t>proposal?[2]</w:t>
      </w:r>
    </w:p>
    <w:p>
      <w:pPr>
        <w:spacing w:before="68"/>
        <w:ind w:left="378" w:right="0" w:firstLine="0"/>
        <w:jc w:val="left"/>
        <w:rPr>
          <w:rFonts w:ascii="Arial" w:hAnsi="Arial"/>
          <w:sz w:val="10"/>
        </w:rPr>
      </w:pPr>
      <w:r>
        <w:rPr>
          <w:rFonts w:ascii="Arial" w:hAnsi="Arial"/>
          <w:color w:val="231F20"/>
          <w:w w:val="95"/>
          <w:sz w:val="10"/>
        </w:rPr>
        <w:t>If you checked “YES”, please describe:</w:t>
      </w:r>
    </w:p>
    <w:p>
      <w:pPr>
        <w:pStyle w:val="ListParagraph"/>
        <w:numPr>
          <w:ilvl w:val="0"/>
          <w:numId w:val="13"/>
        </w:numPr>
        <w:tabs>
          <w:tab w:pos="379" w:val="left" w:leader="none"/>
        </w:tabs>
        <w:spacing w:line="249" w:lineRule="auto" w:before="73" w:after="0"/>
        <w:ind w:left="378" w:right="0" w:hanging="225"/>
        <w:jc w:val="both"/>
        <w:rPr>
          <w:rFonts w:ascii="Arial" w:hAnsi="Arial"/>
          <w:sz w:val="10"/>
        </w:rPr>
      </w:pPr>
      <w:r>
        <w:rPr/>
        <w:pict>
          <v:group style="position:absolute;margin-left:553.413208pt;margin-top:55.415298pt;width:12.6pt;height:14.25pt;mso-position-horizontal-relative:page;mso-position-vertical-relative:paragraph;z-index:15761408" coordorigin="11068,1108" coordsize="252,285">
            <v:line style="position:absolute" from="11316,1115" to="11316,1393" stroked="true" strokeweight=".375pt" strokecolor="#231f20">
              <v:stroke dashstyle="solid"/>
            </v:line>
            <v:line style="position:absolute" from="11320,1112" to="11068,1112" stroked="true" strokeweight=".375pt" strokecolor="#231f20">
              <v:stroke dashstyle="solid"/>
            </v:line>
            <w10:wrap type="none"/>
          </v:group>
        </w:pict>
      </w:r>
      <w:r>
        <w:rPr/>
        <w:pict>
          <v:group style="position:absolute;margin-left:376.794312pt;margin-top:55.1166pt;width:14.25pt;height:12.6pt;mso-position-horizontal-relative:page;mso-position-vertical-relative:paragraph;z-index:15761920" coordorigin="7536,1102" coordsize="285,252">
            <v:line style="position:absolute" from="7543,1106" to="7821,1106" stroked="true" strokeweight=".375pt" strokecolor="#231f20">
              <v:stroke dashstyle="solid"/>
            </v:line>
            <v:line style="position:absolute" from="7540,1102" to="7540,1354" stroked="true" strokeweight=".375pt" strokecolor="#231f20">
              <v:stroke dashstyle="solid"/>
            </v:line>
            <w10:wrap type="none"/>
          </v:group>
        </w:pict>
      </w:r>
      <w:r>
        <w:rPr>
          <w:rFonts w:ascii="Arial" w:hAnsi="Arial"/>
          <w:color w:val="231F20"/>
          <w:w w:val="95"/>
          <w:sz w:val="10"/>
        </w:rPr>
        <w:t>To</w:t>
      </w:r>
      <w:r>
        <w:rPr>
          <w:rFonts w:ascii="Arial" w:hAnsi="Arial"/>
          <w:color w:val="231F20"/>
          <w:spacing w:val="-15"/>
          <w:w w:val="95"/>
          <w:sz w:val="10"/>
        </w:rPr>
        <w:t> </w:t>
      </w:r>
      <w:r>
        <w:rPr>
          <w:rFonts w:ascii="Arial" w:hAnsi="Arial"/>
          <w:color w:val="231F20"/>
          <w:w w:val="95"/>
          <w:sz w:val="10"/>
        </w:rPr>
        <w:t>approve</w:t>
      </w:r>
      <w:r>
        <w:rPr>
          <w:rFonts w:ascii="Arial" w:hAnsi="Arial"/>
          <w:color w:val="231F20"/>
          <w:spacing w:val="-15"/>
          <w:w w:val="95"/>
          <w:sz w:val="10"/>
        </w:rPr>
        <w:t> </w:t>
      </w:r>
      <w:r>
        <w:rPr>
          <w:rFonts w:ascii="Arial" w:hAnsi="Arial"/>
          <w:color w:val="231F20"/>
          <w:w w:val="95"/>
          <w:sz w:val="10"/>
        </w:rPr>
        <w:t>the</w:t>
      </w:r>
      <w:r>
        <w:rPr>
          <w:rFonts w:ascii="Arial" w:hAnsi="Arial"/>
          <w:color w:val="231F20"/>
          <w:spacing w:val="-14"/>
          <w:w w:val="95"/>
          <w:sz w:val="10"/>
        </w:rPr>
        <w:t> </w:t>
      </w:r>
      <w:r>
        <w:rPr>
          <w:rFonts w:ascii="Arial" w:hAnsi="Arial"/>
          <w:color w:val="231F20"/>
          <w:w w:val="95"/>
          <w:sz w:val="10"/>
        </w:rPr>
        <w:t>reappointment</w:t>
      </w:r>
      <w:r>
        <w:rPr>
          <w:rFonts w:ascii="Arial" w:hAnsi="Arial"/>
          <w:color w:val="231F20"/>
          <w:spacing w:val="-15"/>
          <w:w w:val="95"/>
          <w:sz w:val="10"/>
        </w:rPr>
        <w:t> </w:t>
      </w:r>
      <w:r>
        <w:rPr>
          <w:rFonts w:ascii="Arial" w:hAnsi="Arial"/>
          <w:color w:val="231F20"/>
          <w:w w:val="95"/>
          <w:sz w:val="10"/>
        </w:rPr>
        <w:t>of</w:t>
      </w:r>
      <w:r>
        <w:rPr>
          <w:rFonts w:ascii="Arial" w:hAnsi="Arial"/>
          <w:color w:val="231F20"/>
          <w:spacing w:val="-14"/>
          <w:w w:val="95"/>
          <w:sz w:val="10"/>
        </w:rPr>
        <w:t> </w:t>
      </w:r>
      <w:r>
        <w:rPr>
          <w:rFonts w:ascii="Arial" w:hAnsi="Arial"/>
          <w:color w:val="231F20"/>
          <w:w w:val="95"/>
          <w:sz w:val="10"/>
        </w:rPr>
        <w:t>Kost</w:t>
      </w:r>
      <w:r>
        <w:rPr>
          <w:rFonts w:ascii="Arial" w:hAnsi="Arial"/>
          <w:color w:val="231F20"/>
          <w:spacing w:val="-15"/>
          <w:w w:val="95"/>
          <w:sz w:val="10"/>
        </w:rPr>
        <w:t> </w:t>
      </w:r>
      <w:r>
        <w:rPr>
          <w:rFonts w:ascii="Arial" w:hAnsi="Arial"/>
          <w:color w:val="231F20"/>
          <w:w w:val="95"/>
          <w:sz w:val="10"/>
        </w:rPr>
        <w:t>Forer</w:t>
      </w:r>
      <w:r>
        <w:rPr>
          <w:rFonts w:ascii="Arial" w:hAnsi="Arial"/>
          <w:color w:val="231F20"/>
          <w:spacing w:val="-15"/>
          <w:w w:val="95"/>
          <w:sz w:val="10"/>
        </w:rPr>
        <w:t> </w:t>
      </w:r>
      <w:r>
        <w:rPr>
          <w:rFonts w:ascii="Arial" w:hAnsi="Arial"/>
          <w:color w:val="231F20"/>
          <w:w w:val="95"/>
          <w:sz w:val="10"/>
        </w:rPr>
        <w:t>Gabbay</w:t>
      </w:r>
      <w:r>
        <w:rPr>
          <w:rFonts w:ascii="Arial" w:hAnsi="Arial"/>
          <w:color w:val="231F20"/>
          <w:spacing w:val="-14"/>
          <w:w w:val="95"/>
          <w:sz w:val="10"/>
        </w:rPr>
        <w:t> </w:t>
      </w:r>
      <w:r>
        <w:rPr>
          <w:rFonts w:ascii="Arial" w:hAnsi="Arial"/>
          <w:color w:val="231F20"/>
          <w:w w:val="95"/>
          <w:sz w:val="10"/>
        </w:rPr>
        <w:t>&amp;</w:t>
      </w:r>
      <w:r>
        <w:rPr>
          <w:rFonts w:ascii="Arial" w:hAnsi="Arial"/>
          <w:color w:val="231F20"/>
          <w:spacing w:val="-15"/>
          <w:w w:val="95"/>
          <w:sz w:val="10"/>
        </w:rPr>
        <w:t> </w:t>
      </w:r>
      <w:r>
        <w:rPr>
          <w:rFonts w:ascii="Arial" w:hAnsi="Arial"/>
          <w:color w:val="231F20"/>
          <w:w w:val="95"/>
          <w:sz w:val="10"/>
        </w:rPr>
        <w:t>Kasierer,</w:t>
      </w:r>
      <w:r>
        <w:rPr>
          <w:rFonts w:ascii="Arial" w:hAnsi="Arial"/>
          <w:color w:val="231F20"/>
          <w:spacing w:val="-14"/>
          <w:w w:val="95"/>
          <w:sz w:val="10"/>
        </w:rPr>
        <w:t> </w:t>
      </w:r>
      <w:r>
        <w:rPr>
          <w:rFonts w:ascii="Arial" w:hAnsi="Arial"/>
          <w:color w:val="231F20"/>
          <w:w w:val="95"/>
          <w:sz w:val="10"/>
        </w:rPr>
        <w:t>a</w:t>
      </w:r>
      <w:r>
        <w:rPr>
          <w:rFonts w:ascii="Arial" w:hAnsi="Arial"/>
          <w:color w:val="231F20"/>
          <w:spacing w:val="-15"/>
          <w:w w:val="95"/>
          <w:sz w:val="10"/>
        </w:rPr>
        <w:t> </w:t>
      </w:r>
      <w:r>
        <w:rPr>
          <w:rFonts w:ascii="Arial" w:hAnsi="Arial"/>
          <w:color w:val="231F20"/>
          <w:spacing w:val="-3"/>
          <w:w w:val="95"/>
          <w:sz w:val="10"/>
        </w:rPr>
        <w:t>member </w:t>
      </w:r>
      <w:r>
        <w:rPr>
          <w:rFonts w:ascii="Arial" w:hAnsi="Arial"/>
          <w:color w:val="231F20"/>
          <w:w w:val="95"/>
          <w:sz w:val="10"/>
        </w:rPr>
        <w:t>of</w:t>
      </w:r>
      <w:r>
        <w:rPr>
          <w:rFonts w:ascii="Arial" w:hAnsi="Arial"/>
          <w:color w:val="231F20"/>
          <w:spacing w:val="-11"/>
          <w:w w:val="95"/>
          <w:sz w:val="10"/>
        </w:rPr>
        <w:t> </w:t>
      </w:r>
      <w:r>
        <w:rPr>
          <w:rFonts w:ascii="Arial" w:hAnsi="Arial"/>
          <w:color w:val="231F20"/>
          <w:w w:val="95"/>
          <w:sz w:val="10"/>
        </w:rPr>
        <w:t>Ernst</w:t>
      </w:r>
      <w:r>
        <w:rPr>
          <w:rFonts w:ascii="Arial" w:hAnsi="Arial"/>
          <w:color w:val="231F20"/>
          <w:spacing w:val="-11"/>
          <w:w w:val="95"/>
          <w:sz w:val="10"/>
        </w:rPr>
        <w:t> </w:t>
      </w:r>
      <w:r>
        <w:rPr>
          <w:rFonts w:ascii="Arial" w:hAnsi="Arial"/>
          <w:color w:val="231F20"/>
          <w:w w:val="95"/>
          <w:sz w:val="10"/>
        </w:rPr>
        <w:t>&amp;</w:t>
      </w:r>
      <w:r>
        <w:rPr>
          <w:rFonts w:ascii="Arial" w:hAnsi="Arial"/>
          <w:color w:val="231F20"/>
          <w:spacing w:val="-11"/>
          <w:w w:val="95"/>
          <w:sz w:val="10"/>
        </w:rPr>
        <w:t> </w:t>
      </w:r>
      <w:r>
        <w:rPr>
          <w:rFonts w:ascii="Arial" w:hAnsi="Arial"/>
          <w:color w:val="231F20"/>
          <w:w w:val="95"/>
          <w:sz w:val="10"/>
        </w:rPr>
        <w:t>Young</w:t>
      </w:r>
      <w:r>
        <w:rPr>
          <w:rFonts w:ascii="Arial" w:hAnsi="Arial"/>
          <w:color w:val="231F20"/>
          <w:spacing w:val="-11"/>
          <w:w w:val="95"/>
          <w:sz w:val="10"/>
        </w:rPr>
        <w:t> </w:t>
      </w:r>
      <w:r>
        <w:rPr>
          <w:rFonts w:ascii="Arial" w:hAnsi="Arial"/>
          <w:color w:val="231F20"/>
          <w:w w:val="95"/>
          <w:sz w:val="10"/>
        </w:rPr>
        <w:t>Global,</w:t>
      </w:r>
      <w:r>
        <w:rPr>
          <w:rFonts w:ascii="Arial" w:hAnsi="Arial"/>
          <w:color w:val="231F20"/>
          <w:spacing w:val="-11"/>
          <w:w w:val="95"/>
          <w:sz w:val="10"/>
        </w:rPr>
        <w:t> </w:t>
      </w:r>
      <w:r>
        <w:rPr>
          <w:rFonts w:ascii="Arial" w:hAnsi="Arial"/>
          <w:color w:val="231F20"/>
          <w:w w:val="95"/>
          <w:sz w:val="10"/>
        </w:rPr>
        <w:t>as</w:t>
      </w:r>
      <w:r>
        <w:rPr>
          <w:rFonts w:ascii="Arial" w:hAnsi="Arial"/>
          <w:color w:val="231F20"/>
          <w:spacing w:val="-11"/>
          <w:w w:val="95"/>
          <w:sz w:val="10"/>
        </w:rPr>
        <w:t> </w:t>
      </w:r>
      <w:r>
        <w:rPr>
          <w:rFonts w:ascii="Arial" w:hAnsi="Arial"/>
          <w:color w:val="231F20"/>
          <w:w w:val="95"/>
          <w:sz w:val="10"/>
        </w:rPr>
        <w:t>the</w:t>
      </w:r>
      <w:r>
        <w:rPr>
          <w:rFonts w:ascii="Arial" w:hAnsi="Arial"/>
          <w:color w:val="231F20"/>
          <w:spacing w:val="-11"/>
          <w:w w:val="95"/>
          <w:sz w:val="10"/>
        </w:rPr>
        <w:t> </w:t>
      </w:r>
      <w:r>
        <w:rPr>
          <w:rFonts w:ascii="Arial" w:hAnsi="Arial"/>
          <w:color w:val="231F20"/>
          <w:w w:val="95"/>
          <w:sz w:val="10"/>
        </w:rPr>
        <w:t>Company’s</w:t>
      </w:r>
      <w:r>
        <w:rPr>
          <w:rFonts w:ascii="Arial" w:hAnsi="Arial"/>
          <w:color w:val="231F20"/>
          <w:spacing w:val="-11"/>
          <w:w w:val="95"/>
          <w:sz w:val="10"/>
        </w:rPr>
        <w:t> </w:t>
      </w:r>
      <w:r>
        <w:rPr>
          <w:rFonts w:ascii="Arial" w:hAnsi="Arial"/>
          <w:color w:val="231F20"/>
          <w:w w:val="95"/>
          <w:sz w:val="10"/>
        </w:rPr>
        <w:t>independent</w:t>
      </w:r>
      <w:r>
        <w:rPr>
          <w:rFonts w:ascii="Arial" w:hAnsi="Arial"/>
          <w:color w:val="231F20"/>
          <w:spacing w:val="-11"/>
          <w:w w:val="95"/>
          <w:sz w:val="10"/>
        </w:rPr>
        <w:t> </w:t>
      </w:r>
      <w:r>
        <w:rPr>
          <w:rFonts w:ascii="Arial" w:hAnsi="Arial"/>
          <w:color w:val="231F20"/>
          <w:w w:val="95"/>
          <w:sz w:val="10"/>
        </w:rPr>
        <w:t>registered</w:t>
      </w:r>
      <w:r>
        <w:rPr>
          <w:rFonts w:ascii="Arial" w:hAnsi="Arial"/>
          <w:color w:val="231F20"/>
          <w:spacing w:val="-11"/>
          <w:w w:val="95"/>
          <w:sz w:val="10"/>
        </w:rPr>
        <w:t> </w:t>
      </w:r>
      <w:r>
        <w:rPr>
          <w:rFonts w:ascii="Arial" w:hAnsi="Arial"/>
          <w:color w:val="231F20"/>
          <w:spacing w:val="-3"/>
          <w:w w:val="95"/>
          <w:sz w:val="10"/>
        </w:rPr>
        <w:t>public </w:t>
      </w:r>
      <w:r>
        <w:rPr>
          <w:rFonts w:ascii="Arial" w:hAnsi="Arial"/>
          <w:color w:val="231F20"/>
          <w:sz w:val="10"/>
        </w:rPr>
        <w:t>accounting</w:t>
      </w:r>
      <w:r>
        <w:rPr>
          <w:rFonts w:ascii="Arial" w:hAnsi="Arial"/>
          <w:color w:val="231F20"/>
          <w:spacing w:val="-3"/>
          <w:sz w:val="10"/>
        </w:rPr>
        <w:t> </w:t>
      </w:r>
      <w:r>
        <w:rPr>
          <w:rFonts w:ascii="Arial" w:hAnsi="Arial"/>
          <w:color w:val="231F20"/>
          <w:sz w:val="10"/>
        </w:rPr>
        <w:t>ﬁrm</w:t>
      </w:r>
      <w:r>
        <w:rPr>
          <w:rFonts w:ascii="Arial" w:hAnsi="Arial"/>
          <w:color w:val="231F20"/>
          <w:spacing w:val="-3"/>
          <w:sz w:val="10"/>
        </w:rPr>
        <w:t> </w:t>
      </w:r>
      <w:r>
        <w:rPr>
          <w:rFonts w:ascii="Arial" w:hAnsi="Arial"/>
          <w:color w:val="231F20"/>
          <w:sz w:val="10"/>
        </w:rPr>
        <w:t>for</w:t>
      </w:r>
      <w:r>
        <w:rPr>
          <w:rFonts w:ascii="Arial" w:hAnsi="Arial"/>
          <w:color w:val="231F20"/>
          <w:spacing w:val="-3"/>
          <w:sz w:val="10"/>
        </w:rPr>
        <w:t> </w:t>
      </w:r>
      <w:r>
        <w:rPr>
          <w:rFonts w:ascii="Arial" w:hAnsi="Arial"/>
          <w:color w:val="231F20"/>
          <w:sz w:val="10"/>
        </w:rPr>
        <w:t>the</w:t>
      </w:r>
      <w:r>
        <w:rPr>
          <w:rFonts w:ascii="Arial" w:hAnsi="Arial"/>
          <w:color w:val="231F20"/>
          <w:spacing w:val="-2"/>
          <w:sz w:val="10"/>
        </w:rPr>
        <w:t> </w:t>
      </w:r>
      <w:r>
        <w:rPr>
          <w:rFonts w:ascii="Arial" w:hAnsi="Arial"/>
          <w:color w:val="231F20"/>
          <w:sz w:val="10"/>
        </w:rPr>
        <w:t>year</w:t>
      </w:r>
      <w:r>
        <w:rPr>
          <w:rFonts w:ascii="Arial" w:hAnsi="Arial"/>
          <w:color w:val="231F20"/>
          <w:spacing w:val="-3"/>
          <w:sz w:val="10"/>
        </w:rPr>
        <w:t> </w:t>
      </w:r>
      <w:r>
        <w:rPr>
          <w:rFonts w:ascii="Arial" w:hAnsi="Arial"/>
          <w:color w:val="231F20"/>
          <w:sz w:val="10"/>
        </w:rPr>
        <w:t>ending</w:t>
      </w:r>
      <w:r>
        <w:rPr>
          <w:rFonts w:ascii="Arial" w:hAnsi="Arial"/>
          <w:color w:val="231F20"/>
          <w:spacing w:val="-3"/>
          <w:sz w:val="10"/>
        </w:rPr>
        <w:t> </w:t>
      </w:r>
      <w:r>
        <w:rPr>
          <w:rFonts w:ascii="Arial" w:hAnsi="Arial"/>
          <w:color w:val="231F20"/>
          <w:sz w:val="10"/>
        </w:rPr>
        <w:t>December</w:t>
      </w:r>
      <w:r>
        <w:rPr>
          <w:rFonts w:ascii="Arial" w:hAnsi="Arial"/>
          <w:color w:val="231F20"/>
          <w:spacing w:val="-3"/>
          <w:sz w:val="10"/>
        </w:rPr>
        <w:t> </w:t>
      </w:r>
      <w:r>
        <w:rPr>
          <w:rFonts w:ascii="Arial" w:hAnsi="Arial"/>
          <w:color w:val="231F20"/>
          <w:sz w:val="10"/>
        </w:rPr>
        <w:t>31,</w:t>
      </w:r>
      <w:r>
        <w:rPr>
          <w:rFonts w:ascii="Arial" w:hAnsi="Arial"/>
          <w:color w:val="231F20"/>
          <w:spacing w:val="-2"/>
          <w:sz w:val="10"/>
        </w:rPr>
        <w:t> </w:t>
      </w:r>
      <w:r>
        <w:rPr>
          <w:rFonts w:ascii="Arial" w:hAnsi="Arial"/>
          <w:color w:val="231F20"/>
          <w:sz w:val="10"/>
        </w:rPr>
        <w:t>2023</w:t>
      </w:r>
      <w:r>
        <w:rPr>
          <w:rFonts w:ascii="Arial" w:hAnsi="Arial"/>
          <w:color w:val="231F20"/>
          <w:spacing w:val="-3"/>
          <w:sz w:val="10"/>
        </w:rPr>
        <w:t> </w:t>
      </w:r>
      <w:r>
        <w:rPr>
          <w:rFonts w:ascii="Arial" w:hAnsi="Arial"/>
          <w:color w:val="231F20"/>
          <w:sz w:val="10"/>
        </w:rPr>
        <w:t>and</w:t>
      </w:r>
      <w:r>
        <w:rPr>
          <w:rFonts w:ascii="Arial" w:hAnsi="Arial"/>
          <w:color w:val="231F20"/>
          <w:spacing w:val="-3"/>
          <w:sz w:val="10"/>
        </w:rPr>
        <w:t> </w:t>
      </w:r>
      <w:r>
        <w:rPr>
          <w:rFonts w:ascii="Arial" w:hAnsi="Arial"/>
          <w:color w:val="231F20"/>
          <w:sz w:val="10"/>
        </w:rPr>
        <w:t>until</w:t>
      </w:r>
      <w:r>
        <w:rPr>
          <w:rFonts w:ascii="Arial" w:hAnsi="Arial"/>
          <w:color w:val="231F20"/>
          <w:spacing w:val="-3"/>
          <w:sz w:val="10"/>
        </w:rPr>
        <w:t> </w:t>
      </w:r>
      <w:r>
        <w:rPr>
          <w:rFonts w:ascii="Arial" w:hAnsi="Arial"/>
          <w:color w:val="231F20"/>
          <w:spacing w:val="-4"/>
          <w:sz w:val="10"/>
        </w:rPr>
        <w:t>the </w:t>
      </w:r>
      <w:r>
        <w:rPr>
          <w:rFonts w:ascii="Arial" w:hAnsi="Arial"/>
          <w:color w:val="231F20"/>
          <w:w w:val="95"/>
          <w:sz w:val="10"/>
        </w:rPr>
        <w:t>next annual meeting of shareholders, and To approve the Board, </w:t>
      </w:r>
      <w:r>
        <w:rPr>
          <w:rFonts w:ascii="Arial" w:hAnsi="Arial"/>
          <w:color w:val="231F20"/>
          <w:spacing w:val="-5"/>
          <w:w w:val="95"/>
          <w:sz w:val="10"/>
        </w:rPr>
        <w:t>upon </w:t>
      </w:r>
      <w:r>
        <w:rPr>
          <w:rFonts w:ascii="Arial" w:hAnsi="Arial"/>
          <w:color w:val="231F20"/>
          <w:w w:val="90"/>
          <w:sz w:val="10"/>
        </w:rPr>
        <w:t>recommendation</w:t>
      </w:r>
      <w:r>
        <w:rPr>
          <w:rFonts w:ascii="Arial" w:hAnsi="Arial"/>
          <w:color w:val="231F20"/>
          <w:spacing w:val="-13"/>
          <w:w w:val="90"/>
          <w:sz w:val="10"/>
        </w:rPr>
        <w:t> </w:t>
      </w:r>
      <w:r>
        <w:rPr>
          <w:rFonts w:ascii="Arial" w:hAnsi="Arial"/>
          <w:color w:val="231F20"/>
          <w:w w:val="90"/>
          <w:sz w:val="10"/>
        </w:rPr>
        <w:t>of</w:t>
      </w:r>
      <w:r>
        <w:rPr>
          <w:rFonts w:ascii="Arial" w:hAnsi="Arial"/>
          <w:color w:val="231F20"/>
          <w:spacing w:val="-12"/>
          <w:w w:val="90"/>
          <w:sz w:val="10"/>
        </w:rPr>
        <w:t> </w:t>
      </w:r>
      <w:r>
        <w:rPr>
          <w:rFonts w:ascii="Arial" w:hAnsi="Arial"/>
          <w:color w:val="231F20"/>
          <w:w w:val="90"/>
          <w:sz w:val="10"/>
        </w:rPr>
        <w:t>the</w:t>
      </w:r>
      <w:r>
        <w:rPr>
          <w:rFonts w:ascii="Arial" w:hAnsi="Arial"/>
          <w:color w:val="231F20"/>
          <w:spacing w:val="-13"/>
          <w:w w:val="90"/>
          <w:sz w:val="10"/>
        </w:rPr>
        <w:t> </w:t>
      </w:r>
      <w:r>
        <w:rPr>
          <w:rFonts w:ascii="Arial" w:hAnsi="Arial"/>
          <w:color w:val="231F20"/>
          <w:w w:val="90"/>
          <w:sz w:val="10"/>
        </w:rPr>
        <w:t>audit</w:t>
      </w:r>
      <w:r>
        <w:rPr>
          <w:rFonts w:ascii="Arial" w:hAnsi="Arial"/>
          <w:color w:val="231F20"/>
          <w:spacing w:val="-12"/>
          <w:w w:val="90"/>
          <w:sz w:val="10"/>
        </w:rPr>
        <w:t> </w:t>
      </w:r>
      <w:r>
        <w:rPr>
          <w:rFonts w:ascii="Arial" w:hAnsi="Arial"/>
          <w:color w:val="231F20"/>
          <w:w w:val="90"/>
          <w:sz w:val="10"/>
        </w:rPr>
        <w:t>committee,</w:t>
      </w:r>
      <w:r>
        <w:rPr>
          <w:rFonts w:ascii="Arial" w:hAnsi="Arial"/>
          <w:color w:val="231F20"/>
          <w:spacing w:val="-13"/>
          <w:w w:val="90"/>
          <w:sz w:val="10"/>
        </w:rPr>
        <w:t> </w:t>
      </w:r>
      <w:r>
        <w:rPr>
          <w:rFonts w:ascii="Arial" w:hAnsi="Arial"/>
          <w:color w:val="231F20"/>
          <w:w w:val="90"/>
          <w:sz w:val="10"/>
        </w:rPr>
        <w:t>be</w:t>
      </w:r>
      <w:r>
        <w:rPr>
          <w:rFonts w:ascii="Arial" w:hAnsi="Arial"/>
          <w:color w:val="231F20"/>
          <w:spacing w:val="-12"/>
          <w:w w:val="90"/>
          <w:sz w:val="10"/>
        </w:rPr>
        <w:t> </w:t>
      </w:r>
      <w:r>
        <w:rPr>
          <w:rFonts w:ascii="Arial" w:hAnsi="Arial"/>
          <w:color w:val="231F20"/>
          <w:w w:val="90"/>
          <w:sz w:val="10"/>
        </w:rPr>
        <w:t>authorized</w:t>
      </w:r>
      <w:r>
        <w:rPr>
          <w:rFonts w:ascii="Arial" w:hAnsi="Arial"/>
          <w:color w:val="231F20"/>
          <w:spacing w:val="-12"/>
          <w:w w:val="90"/>
          <w:sz w:val="10"/>
        </w:rPr>
        <w:t> </w:t>
      </w:r>
      <w:r>
        <w:rPr>
          <w:rFonts w:ascii="Arial" w:hAnsi="Arial"/>
          <w:color w:val="231F20"/>
          <w:w w:val="90"/>
          <w:sz w:val="10"/>
        </w:rPr>
        <w:t>to</w:t>
      </w:r>
      <w:r>
        <w:rPr>
          <w:rFonts w:ascii="Arial" w:hAnsi="Arial"/>
          <w:color w:val="231F20"/>
          <w:spacing w:val="-13"/>
          <w:w w:val="90"/>
          <w:sz w:val="10"/>
        </w:rPr>
        <w:t> </w:t>
      </w:r>
      <w:r>
        <w:rPr>
          <w:rFonts w:ascii="Arial" w:hAnsi="Arial"/>
          <w:color w:val="231F20"/>
          <w:w w:val="90"/>
          <w:sz w:val="10"/>
        </w:rPr>
        <w:t>ﬁx</w:t>
      </w:r>
      <w:r>
        <w:rPr>
          <w:rFonts w:ascii="Arial" w:hAnsi="Arial"/>
          <w:color w:val="231F20"/>
          <w:spacing w:val="-12"/>
          <w:w w:val="90"/>
          <w:sz w:val="10"/>
        </w:rPr>
        <w:t> </w:t>
      </w:r>
      <w:r>
        <w:rPr>
          <w:rFonts w:ascii="Arial" w:hAnsi="Arial"/>
          <w:color w:val="231F20"/>
          <w:w w:val="90"/>
          <w:sz w:val="10"/>
        </w:rPr>
        <w:t>the</w:t>
      </w:r>
      <w:r>
        <w:rPr>
          <w:rFonts w:ascii="Arial" w:hAnsi="Arial"/>
          <w:color w:val="231F20"/>
          <w:spacing w:val="-13"/>
          <w:w w:val="90"/>
          <w:sz w:val="10"/>
        </w:rPr>
        <w:t> </w:t>
      </w:r>
      <w:r>
        <w:rPr>
          <w:rFonts w:ascii="Arial" w:hAnsi="Arial"/>
          <w:color w:val="231F20"/>
          <w:w w:val="90"/>
          <w:sz w:val="10"/>
        </w:rPr>
        <w:t>remuneration of</w:t>
      </w:r>
      <w:r>
        <w:rPr>
          <w:rFonts w:ascii="Arial" w:hAnsi="Arial"/>
          <w:color w:val="231F20"/>
          <w:spacing w:val="-4"/>
          <w:w w:val="90"/>
          <w:sz w:val="10"/>
        </w:rPr>
        <w:t> </w:t>
      </w:r>
      <w:r>
        <w:rPr>
          <w:rFonts w:ascii="Arial" w:hAnsi="Arial"/>
          <w:color w:val="231F20"/>
          <w:w w:val="90"/>
          <w:sz w:val="10"/>
        </w:rPr>
        <w:t>said</w:t>
      </w:r>
      <w:r>
        <w:rPr>
          <w:rFonts w:ascii="Arial" w:hAnsi="Arial"/>
          <w:color w:val="231F20"/>
          <w:spacing w:val="-4"/>
          <w:w w:val="90"/>
          <w:sz w:val="10"/>
        </w:rPr>
        <w:t> </w:t>
      </w:r>
      <w:r>
        <w:rPr>
          <w:rFonts w:ascii="Arial" w:hAnsi="Arial"/>
          <w:color w:val="231F20"/>
          <w:w w:val="90"/>
          <w:sz w:val="10"/>
        </w:rPr>
        <w:t>independent</w:t>
      </w:r>
      <w:r>
        <w:rPr>
          <w:rFonts w:ascii="Arial" w:hAnsi="Arial"/>
          <w:color w:val="231F20"/>
          <w:spacing w:val="-4"/>
          <w:w w:val="90"/>
          <w:sz w:val="10"/>
        </w:rPr>
        <w:t> </w:t>
      </w:r>
      <w:r>
        <w:rPr>
          <w:rFonts w:ascii="Arial" w:hAnsi="Arial"/>
          <w:color w:val="231F20"/>
          <w:w w:val="90"/>
          <w:sz w:val="10"/>
        </w:rPr>
        <w:t>registered</w:t>
      </w:r>
      <w:r>
        <w:rPr>
          <w:rFonts w:ascii="Arial" w:hAnsi="Arial"/>
          <w:color w:val="231F20"/>
          <w:spacing w:val="-4"/>
          <w:w w:val="90"/>
          <w:sz w:val="10"/>
        </w:rPr>
        <w:t> </w:t>
      </w:r>
      <w:r>
        <w:rPr>
          <w:rFonts w:ascii="Arial" w:hAnsi="Arial"/>
          <w:color w:val="231F20"/>
          <w:w w:val="90"/>
          <w:sz w:val="10"/>
        </w:rPr>
        <w:t>public</w:t>
      </w:r>
      <w:r>
        <w:rPr>
          <w:rFonts w:ascii="Arial" w:hAnsi="Arial"/>
          <w:color w:val="231F20"/>
          <w:spacing w:val="-4"/>
          <w:w w:val="90"/>
          <w:sz w:val="10"/>
        </w:rPr>
        <w:t> </w:t>
      </w:r>
      <w:r>
        <w:rPr>
          <w:rFonts w:ascii="Arial" w:hAnsi="Arial"/>
          <w:color w:val="231F20"/>
          <w:w w:val="90"/>
          <w:sz w:val="10"/>
        </w:rPr>
        <w:t>accounting</w:t>
      </w:r>
      <w:r>
        <w:rPr>
          <w:rFonts w:ascii="Arial" w:hAnsi="Arial"/>
          <w:color w:val="231F20"/>
          <w:spacing w:val="-4"/>
          <w:w w:val="90"/>
          <w:sz w:val="10"/>
        </w:rPr>
        <w:t> </w:t>
      </w:r>
      <w:r>
        <w:rPr>
          <w:rFonts w:ascii="Arial" w:hAnsi="Arial"/>
          <w:color w:val="231F20"/>
          <w:w w:val="90"/>
          <w:sz w:val="10"/>
        </w:rPr>
        <w:t>ﬁrm</w:t>
      </w:r>
      <w:r>
        <w:rPr>
          <w:rFonts w:ascii="Arial" w:hAnsi="Arial"/>
          <w:color w:val="231F20"/>
          <w:spacing w:val="-4"/>
          <w:w w:val="90"/>
          <w:sz w:val="10"/>
        </w:rPr>
        <w:t> </w:t>
      </w:r>
      <w:r>
        <w:rPr>
          <w:rFonts w:ascii="Arial" w:hAnsi="Arial"/>
          <w:color w:val="231F20"/>
          <w:w w:val="90"/>
          <w:sz w:val="10"/>
        </w:rPr>
        <w:t>in</w:t>
      </w:r>
      <w:r>
        <w:rPr>
          <w:rFonts w:ascii="Arial" w:hAnsi="Arial"/>
          <w:color w:val="231F20"/>
          <w:spacing w:val="-4"/>
          <w:w w:val="90"/>
          <w:sz w:val="10"/>
        </w:rPr>
        <w:t> </w:t>
      </w:r>
      <w:r>
        <w:rPr>
          <w:rFonts w:ascii="Arial" w:hAnsi="Arial"/>
          <w:color w:val="231F20"/>
          <w:w w:val="90"/>
          <w:sz w:val="10"/>
        </w:rPr>
        <w:t>accordance</w:t>
      </w:r>
      <w:r>
        <w:rPr>
          <w:rFonts w:ascii="Arial" w:hAnsi="Arial"/>
          <w:color w:val="231F20"/>
          <w:spacing w:val="-4"/>
          <w:w w:val="90"/>
          <w:sz w:val="10"/>
        </w:rPr>
        <w:t> </w:t>
      </w:r>
      <w:r>
        <w:rPr>
          <w:rFonts w:ascii="Arial" w:hAnsi="Arial"/>
          <w:color w:val="231F20"/>
          <w:w w:val="90"/>
          <w:sz w:val="10"/>
        </w:rPr>
        <w:t>with</w:t>
      </w:r>
      <w:r>
        <w:rPr>
          <w:rFonts w:ascii="Arial" w:hAnsi="Arial"/>
          <w:color w:val="231F20"/>
          <w:spacing w:val="-4"/>
          <w:w w:val="90"/>
          <w:sz w:val="10"/>
        </w:rPr>
        <w:t> </w:t>
      </w:r>
      <w:r>
        <w:rPr>
          <w:rFonts w:ascii="Arial" w:hAnsi="Arial"/>
          <w:color w:val="231F20"/>
          <w:spacing w:val="-6"/>
          <w:w w:val="90"/>
          <w:sz w:val="10"/>
        </w:rPr>
        <w:t>the </w:t>
      </w:r>
      <w:r>
        <w:rPr>
          <w:rFonts w:ascii="Arial" w:hAnsi="Arial"/>
          <w:color w:val="231F20"/>
          <w:sz w:val="10"/>
        </w:rPr>
        <w:t>volume and nature of their</w:t>
      </w:r>
      <w:r>
        <w:rPr>
          <w:rFonts w:ascii="Arial" w:hAnsi="Arial"/>
          <w:color w:val="231F20"/>
          <w:spacing w:val="-19"/>
          <w:sz w:val="10"/>
        </w:rPr>
        <w:t> </w:t>
      </w:r>
      <w:r>
        <w:rPr>
          <w:rFonts w:ascii="Arial" w:hAnsi="Arial"/>
          <w:color w:val="231F20"/>
          <w:sz w:val="10"/>
        </w:rPr>
        <w:t>services.</w:t>
      </w:r>
    </w:p>
    <w:p>
      <w:pPr>
        <w:pStyle w:val="BodyText"/>
        <w:spacing w:before="9"/>
        <w:rPr>
          <w:rFonts w:ascii="Arial"/>
          <w:sz w:val="13"/>
        </w:rPr>
      </w:pPr>
      <w:r>
        <w:rPr/>
        <w:br w:type="column"/>
      </w:r>
      <w:r>
        <w:rPr>
          <w:rFonts w:ascii="Arial"/>
          <w:sz w:val="13"/>
        </w:rPr>
      </w:r>
    </w:p>
    <w:p>
      <w:pPr>
        <w:spacing w:before="0"/>
        <w:ind w:left="165" w:right="0" w:firstLine="0"/>
        <w:jc w:val="left"/>
        <w:rPr>
          <w:rFonts w:ascii="Arial"/>
          <w:b/>
          <w:sz w:val="9"/>
        </w:rPr>
      </w:pPr>
      <w:r>
        <w:rPr>
          <w:rFonts w:ascii="Arial"/>
          <w:b/>
          <w:color w:val="231F20"/>
          <w:w w:val="90"/>
          <w:sz w:val="9"/>
        </w:rPr>
        <w:t>For Against Abstain</w:t>
      </w:r>
    </w:p>
    <w:p>
      <w:pPr>
        <w:pStyle w:val="BodyText"/>
        <w:spacing w:before="2"/>
        <w:rPr>
          <w:rFonts w:ascii="Arial"/>
          <w:b/>
          <w:sz w:val="5"/>
        </w:rPr>
      </w:pPr>
    </w:p>
    <w:p>
      <w:pPr>
        <w:spacing w:line="135" w:lineRule="exact"/>
        <w:ind w:left="167" w:right="0" w:firstLine="0"/>
        <w:rPr>
          <w:rFonts w:ascii="Arial"/>
          <w:sz w:val="13"/>
        </w:rPr>
      </w:pPr>
      <w:r>
        <w:rPr>
          <w:rFonts w:ascii="Arial"/>
          <w:position w:val="-2"/>
          <w:sz w:val="13"/>
        </w:rPr>
        <w:pict>
          <v:group style="width:7pt;height:6.75pt;mso-position-horizontal-relative:char;mso-position-vertical-relative:line" coordorigin="0,0" coordsize="140,135">
            <v:rect style="position:absolute;left:3;top:3;width:133;height:128" filled="false" stroked="true" strokeweight=".375pt" strokecolor="#6d6e71">
              <v:stroke dashstyle="solid"/>
            </v:rect>
          </v:group>
        </w:pict>
      </w:r>
      <w:r>
        <w:rPr>
          <w:rFonts w:ascii="Arial"/>
          <w:position w:val="-2"/>
          <w:sz w:val="13"/>
        </w:rPr>
      </w:r>
      <w:r>
        <w:rPr>
          <w:spacing w:val="90"/>
          <w:position w:val="-2"/>
          <w:sz w:val="13"/>
        </w:rPr>
        <w:t> </w:t>
      </w:r>
      <w:r>
        <w:rPr>
          <w:rFonts w:ascii="Arial"/>
          <w:spacing w:val="90"/>
          <w:position w:val="-2"/>
          <w:sz w:val="13"/>
        </w:rPr>
        <w:pict>
          <v:group style="width:7pt;height:6.75pt;mso-position-horizontal-relative:char;mso-position-vertical-relative:line" coordorigin="0,0" coordsize="140,135">
            <v:rect style="position:absolute;left:3;top:3;width:133;height:128" filled="false" stroked="true" strokeweight=".375pt" strokecolor="#6d6e71">
              <v:stroke dashstyle="solid"/>
            </v:rect>
          </v:group>
        </w:pict>
      </w:r>
      <w:r>
        <w:rPr>
          <w:rFonts w:ascii="Arial"/>
          <w:spacing w:val="90"/>
          <w:position w:val="-2"/>
          <w:sz w:val="13"/>
        </w:rPr>
      </w:r>
      <w:r>
        <w:rPr>
          <w:spacing w:val="88"/>
          <w:position w:val="-2"/>
          <w:sz w:val="13"/>
        </w:rPr>
        <w:t> </w:t>
      </w:r>
      <w:r>
        <w:rPr>
          <w:rFonts w:ascii="Arial"/>
          <w:spacing w:val="88"/>
          <w:position w:val="-2"/>
          <w:sz w:val="13"/>
        </w:rPr>
        <w:pict>
          <v:group style="width:7pt;height:6.75pt;mso-position-horizontal-relative:char;mso-position-vertical-relative:line" coordorigin="0,0" coordsize="140,135">
            <v:rect style="position:absolute;left:3;top:3;width:133;height:128" filled="false" stroked="true" strokeweight=".375pt" strokecolor="#6d6e71">
              <v:stroke dashstyle="solid"/>
            </v:rect>
          </v:group>
        </w:pict>
      </w:r>
      <w:r>
        <w:rPr>
          <w:rFonts w:ascii="Arial"/>
          <w:spacing w:val="88"/>
          <w:position w:val="-2"/>
          <w:sz w:val="13"/>
        </w:rPr>
      </w:r>
    </w:p>
    <w:p>
      <w:pPr>
        <w:pStyle w:val="BodyText"/>
        <w:spacing w:before="1"/>
        <w:rPr>
          <w:rFonts w:ascii="Arial"/>
          <w:b/>
          <w:sz w:val="21"/>
        </w:rPr>
      </w:pPr>
      <w:r>
        <w:rPr/>
        <w:pict>
          <v:rect style="position:absolute;margin-left:194.904999pt;margin-top:14.30315pt;width:6.6255pt;height:6.375pt;mso-position-horizontal-relative:page;mso-position-vertical-relative:paragraph;z-index:-15716864;mso-wrap-distance-left:0;mso-wrap-distance-right:0" filled="false" stroked="true" strokeweight=".375pt" strokecolor="#6d6e71">
            <v:stroke dashstyle="solid"/>
            <w10:wrap type="topAndBottom"/>
          </v:rect>
        </w:pict>
      </w:r>
      <w:r>
        <w:rPr/>
        <w:pict>
          <v:rect style="position:absolute;margin-left:209.154999pt;margin-top:14.30315pt;width:6.6255pt;height:6.375pt;mso-position-horizontal-relative:page;mso-position-vertical-relative:paragraph;z-index:-15716352;mso-wrap-distance-left:0;mso-wrap-distance-right:0" filled="false" stroked="true" strokeweight=".375pt" strokecolor="#6d6e71">
            <v:stroke dashstyle="solid"/>
            <w10:wrap type="topAndBottom"/>
          </v:rect>
        </w:pict>
      </w:r>
      <w:r>
        <w:rPr/>
        <w:pict>
          <v:rect style="position:absolute;margin-left:223.354004pt;margin-top:14.30315pt;width:6.6248pt;height:6.375pt;mso-position-horizontal-relative:page;mso-position-vertical-relative:paragraph;z-index:-15715840;mso-wrap-distance-left:0;mso-wrap-distance-right:0" filled="false" stroked="true" strokeweight=".375pt" strokecolor="#6d6e71">
            <v:stroke dashstyle="solid"/>
            <w10:wrap type="topAndBottom"/>
          </v:rect>
        </w:pict>
      </w:r>
      <w:r>
        <w:rPr/>
        <w:pict>
          <v:rect style="position:absolute;margin-left:194.904999pt;margin-top:29.67815pt;width:6.6255pt;height:6.375pt;mso-position-horizontal-relative:page;mso-position-vertical-relative:paragraph;z-index:-15715328;mso-wrap-distance-left:0;mso-wrap-distance-right:0" filled="false" stroked="true" strokeweight=".375pt" strokecolor="#6d6e71">
            <v:stroke dashstyle="solid"/>
            <w10:wrap type="topAndBottom"/>
          </v:rect>
        </w:pict>
      </w:r>
      <w:r>
        <w:rPr/>
        <w:pict>
          <v:rect style="position:absolute;margin-left:209.154999pt;margin-top:29.67815pt;width:6.6255pt;height:6.375pt;mso-position-horizontal-relative:page;mso-position-vertical-relative:paragraph;z-index:-15714816;mso-wrap-distance-left:0;mso-wrap-distance-right:0" filled="false" stroked="true" strokeweight=".375pt" strokecolor="#6d6e71">
            <v:stroke dashstyle="solid"/>
            <w10:wrap type="topAndBottom"/>
          </v:rect>
        </w:pict>
      </w:r>
      <w:r>
        <w:rPr/>
        <w:pict>
          <v:rect style="position:absolute;margin-left:223.354004pt;margin-top:29.67815pt;width:6.6248pt;height:6.375pt;mso-position-horizontal-relative:page;mso-position-vertical-relative:paragraph;z-index:-15714304;mso-wrap-distance-left:0;mso-wrap-distance-right:0" filled="false" stroked="true" strokeweight=".375pt" strokecolor="#6d6e71">
            <v:stroke dashstyle="solid"/>
            <w10:wrap type="topAndBottom"/>
          </v:rect>
        </w:pict>
      </w:r>
      <w:r>
        <w:rPr/>
        <w:pict>
          <v:rect style="position:absolute;margin-left:194.904999pt;margin-top:45.05315pt;width:6.6255pt;height:6.375pt;mso-position-horizontal-relative:page;mso-position-vertical-relative:paragraph;z-index:-15713792;mso-wrap-distance-left:0;mso-wrap-distance-right:0" filled="false" stroked="true" strokeweight=".375pt" strokecolor="#6d6e71">
            <v:stroke dashstyle="solid"/>
            <w10:wrap type="topAndBottom"/>
          </v:rect>
        </w:pict>
      </w:r>
      <w:r>
        <w:rPr/>
        <w:pict>
          <v:rect style="position:absolute;margin-left:209.154999pt;margin-top:45.05315pt;width:6.6255pt;height:6.375pt;mso-position-horizontal-relative:page;mso-position-vertical-relative:paragraph;z-index:-15713280;mso-wrap-distance-left:0;mso-wrap-distance-right:0" filled="false" stroked="true" strokeweight=".375pt" strokecolor="#6d6e71">
            <v:stroke dashstyle="solid"/>
            <w10:wrap type="topAndBottom"/>
          </v:rect>
        </w:pict>
      </w:r>
      <w:r>
        <w:rPr/>
        <w:pict>
          <v:rect style="position:absolute;margin-left:223.354004pt;margin-top:45.05315pt;width:6.6248pt;height:6.375pt;mso-position-horizontal-relative:page;mso-position-vertical-relative:paragraph;z-index:-15712768;mso-wrap-distance-left:0;mso-wrap-distance-right:0" filled="false" stroked="true" strokeweight=".375pt" strokecolor="#6d6e71">
            <v:stroke dashstyle="solid"/>
            <w10:wrap type="topAndBottom"/>
          </v:rect>
        </w:pict>
      </w:r>
      <w:r>
        <w:rPr/>
        <w:pict>
          <v:rect style="position:absolute;margin-left:194.904999pt;margin-top:60.42815pt;width:6.6255pt;height:6.375pt;mso-position-horizontal-relative:page;mso-position-vertical-relative:paragraph;z-index:-15712256;mso-wrap-distance-left:0;mso-wrap-distance-right:0" filled="false" stroked="true" strokeweight=".375pt" strokecolor="#6d6e71">
            <v:stroke dashstyle="solid"/>
            <w10:wrap type="topAndBottom"/>
          </v:rect>
        </w:pict>
      </w:r>
      <w:r>
        <w:rPr/>
        <w:pict>
          <v:rect style="position:absolute;margin-left:209.154999pt;margin-top:60.42815pt;width:6.6255pt;height:6.375pt;mso-position-horizontal-relative:page;mso-position-vertical-relative:paragraph;z-index:-15711744;mso-wrap-distance-left:0;mso-wrap-distance-right:0" filled="false" stroked="true" strokeweight=".375pt" strokecolor="#6d6e71">
            <v:stroke dashstyle="solid"/>
            <w10:wrap type="topAndBottom"/>
          </v:rect>
        </w:pict>
      </w:r>
      <w:r>
        <w:rPr/>
        <w:pict>
          <v:rect style="position:absolute;margin-left:223.354004pt;margin-top:60.42815pt;width:6.6248pt;height:6.375pt;mso-position-horizontal-relative:page;mso-position-vertical-relative:paragraph;z-index:-15711232;mso-wrap-distance-left:0;mso-wrap-distance-right:0" filled="false" stroked="true" strokeweight=".375pt" strokecolor="#6d6e71">
            <v:stroke dashstyle="solid"/>
            <w10:wrap type="topAndBottom"/>
          </v:rect>
        </w:pict>
      </w:r>
      <w:r>
        <w:rPr/>
        <w:pict>
          <v:rect style="position:absolute;margin-left:194.904999pt;margin-top:75.803154pt;width:6.6255pt;height:6.375pt;mso-position-horizontal-relative:page;mso-position-vertical-relative:paragraph;z-index:-15710720;mso-wrap-distance-left:0;mso-wrap-distance-right:0" filled="false" stroked="true" strokeweight=".375pt" strokecolor="#6d6e71">
            <v:stroke dashstyle="solid"/>
            <w10:wrap type="topAndBottom"/>
          </v:rect>
        </w:pict>
      </w:r>
      <w:r>
        <w:rPr/>
        <w:pict>
          <v:rect style="position:absolute;margin-left:209.154999pt;margin-top:75.803154pt;width:6.6255pt;height:6.375pt;mso-position-horizontal-relative:page;mso-position-vertical-relative:paragraph;z-index:-15710208;mso-wrap-distance-left:0;mso-wrap-distance-right:0" filled="false" stroked="true" strokeweight=".375pt" strokecolor="#6d6e71">
            <v:stroke dashstyle="solid"/>
            <w10:wrap type="topAndBottom"/>
          </v:rect>
        </w:pict>
      </w:r>
      <w:r>
        <w:rPr/>
        <w:pict>
          <v:rect style="position:absolute;margin-left:223.354004pt;margin-top:75.803154pt;width:6.6248pt;height:6.375pt;mso-position-horizontal-relative:page;mso-position-vertical-relative:paragraph;z-index:-15709696;mso-wrap-distance-left:0;mso-wrap-distance-right:0" filled="false" stroked="true" strokeweight=".375pt" strokecolor="#6d6e71">
            <v:stroke dashstyle="solid"/>
            <w10:wrap type="topAndBottom"/>
          </v:rect>
        </w:pict>
      </w:r>
      <w:r>
        <w:rPr/>
        <w:pict>
          <v:rect style="position:absolute;margin-left:194.904999pt;margin-top:91.178154pt;width:6.6255pt;height:6.375pt;mso-position-horizontal-relative:page;mso-position-vertical-relative:paragraph;z-index:-15709184;mso-wrap-distance-left:0;mso-wrap-distance-right:0" filled="false" stroked="true" strokeweight=".375pt" strokecolor="#6d6e71">
            <v:stroke dashstyle="solid"/>
            <w10:wrap type="topAndBottom"/>
          </v:rect>
        </w:pict>
      </w:r>
      <w:r>
        <w:rPr/>
        <w:pict>
          <v:rect style="position:absolute;margin-left:209.154999pt;margin-top:91.178154pt;width:6.6255pt;height:6.375pt;mso-position-horizontal-relative:page;mso-position-vertical-relative:paragraph;z-index:-15708672;mso-wrap-distance-left:0;mso-wrap-distance-right:0" filled="false" stroked="true" strokeweight=".375pt" strokecolor="#6d6e71">
            <v:stroke dashstyle="solid"/>
            <w10:wrap type="topAndBottom"/>
          </v:rect>
        </w:pict>
      </w:r>
      <w:r>
        <w:rPr/>
        <w:pict>
          <v:rect style="position:absolute;margin-left:223.354004pt;margin-top:91.178154pt;width:6.6248pt;height:6.375pt;mso-position-horizontal-relative:page;mso-position-vertical-relative:paragraph;z-index:-15708160;mso-wrap-distance-left:0;mso-wrap-distance-right:0" filled="false" stroked="true" strokeweight=".375pt" strokecolor="#6d6e71">
            <v:stroke dashstyle="solid"/>
            <w10:wrap type="topAndBottom"/>
          </v:rect>
        </w:pict>
      </w:r>
      <w:r>
        <w:rPr/>
        <w:pict>
          <v:rect style="position:absolute;margin-left:194.904999pt;margin-top:105.905151pt;width:6.6255pt;height:6.375pt;mso-position-horizontal-relative:page;mso-position-vertical-relative:paragraph;z-index:-15707648;mso-wrap-distance-left:0;mso-wrap-distance-right:0" filled="false" stroked="true" strokeweight=".375pt" strokecolor="#6d6e71">
            <v:stroke dashstyle="solid"/>
            <w10:wrap type="topAndBottom"/>
          </v:rect>
        </w:pict>
      </w:r>
      <w:r>
        <w:rPr/>
        <w:pict>
          <v:rect style="position:absolute;margin-left:209.154999pt;margin-top:105.905151pt;width:6.6255pt;height:6.375pt;mso-position-horizontal-relative:page;mso-position-vertical-relative:paragraph;z-index:-15707136;mso-wrap-distance-left:0;mso-wrap-distance-right:0" filled="false" stroked="true" strokeweight=".375pt" strokecolor="#6d6e71">
            <v:stroke dashstyle="solid"/>
            <w10:wrap type="topAndBottom"/>
          </v:rect>
        </w:pict>
      </w:r>
      <w:r>
        <w:rPr/>
        <w:pict>
          <v:rect style="position:absolute;margin-left:223.354004pt;margin-top:105.905151pt;width:6.6248pt;height:6.375pt;mso-position-horizontal-relative:page;mso-position-vertical-relative:paragraph;z-index:-15706624;mso-wrap-distance-left:0;mso-wrap-distance-right:0" filled="false" stroked="true" strokeweight=".375pt" strokecolor="#6d6e71">
            <v:stroke dashstyle="solid"/>
            <w10:wrap type="topAndBottom"/>
          </v:rect>
        </w:pict>
      </w:r>
      <w:r>
        <w:rPr/>
        <w:pict>
          <v:rect style="position:absolute;margin-left:194.904999pt;margin-top:121.010147pt;width:6.6255pt;height:6.375pt;mso-position-horizontal-relative:page;mso-position-vertical-relative:paragraph;z-index:-15706112;mso-wrap-distance-left:0;mso-wrap-distance-right:0" filled="false" stroked="true" strokeweight=".375pt" strokecolor="#6d6e71">
            <v:stroke dashstyle="solid"/>
            <w10:wrap type="topAndBottom"/>
          </v:rect>
        </w:pict>
      </w:r>
      <w:r>
        <w:rPr/>
        <w:pict>
          <v:rect style="position:absolute;margin-left:209.154999pt;margin-top:121.010147pt;width:6.6255pt;height:6.375pt;mso-position-horizontal-relative:page;mso-position-vertical-relative:paragraph;z-index:-15705600;mso-wrap-distance-left:0;mso-wrap-distance-right:0" filled="false" stroked="true" strokeweight=".375pt" strokecolor="#6d6e71">
            <v:stroke dashstyle="solid"/>
            <w10:wrap type="topAndBottom"/>
          </v:rect>
        </w:pict>
      </w:r>
      <w:r>
        <w:rPr/>
        <w:pict>
          <v:rect style="position:absolute;margin-left:223.354004pt;margin-top:121.010147pt;width:6.6248pt;height:6.375pt;mso-position-horizontal-relative:page;mso-position-vertical-relative:paragraph;z-index:-15705088;mso-wrap-distance-left:0;mso-wrap-distance-right:0" filled="false" stroked="true" strokeweight=".375pt" strokecolor="#6d6e71">
            <v:stroke dashstyle="solid"/>
            <w10:wrap type="topAndBottom"/>
          </v:rect>
        </w:pict>
      </w:r>
      <w:r>
        <w:rPr/>
        <w:pict>
          <v:rect style="position:absolute;margin-left:194.904999pt;margin-top:137.510147pt;width:6.6255pt;height:6.375pt;mso-position-horizontal-relative:page;mso-position-vertical-relative:paragraph;z-index:-15704576;mso-wrap-distance-left:0;mso-wrap-distance-right:0" filled="false" stroked="true" strokeweight=".375pt" strokecolor="#6d6e71">
            <v:stroke dashstyle="solid"/>
            <w10:wrap type="topAndBottom"/>
          </v:rect>
        </w:pict>
      </w:r>
      <w:r>
        <w:rPr/>
        <w:pict>
          <v:rect style="position:absolute;margin-left:209.154999pt;margin-top:137.510147pt;width:6.6255pt;height:6.375pt;mso-position-horizontal-relative:page;mso-position-vertical-relative:paragraph;z-index:-15704064;mso-wrap-distance-left:0;mso-wrap-distance-right:0" filled="false" stroked="true" strokeweight=".375pt" strokecolor="#6d6e71">
            <v:stroke dashstyle="solid"/>
            <w10:wrap type="topAndBottom"/>
          </v:rect>
        </w:pict>
      </w:r>
      <w:r>
        <w:rPr/>
        <w:pict>
          <v:rect style="position:absolute;margin-left:223.354004pt;margin-top:137.510147pt;width:6.6248pt;height:6.375pt;mso-position-horizontal-relative:page;mso-position-vertical-relative:paragraph;z-index:-15703552;mso-wrap-distance-left:0;mso-wrap-distance-right:0" filled="false" stroked="true" strokeweight=".375pt" strokecolor="#6d6e71">
            <v:stroke dashstyle="solid"/>
            <w10:wrap type="topAndBottom"/>
          </v:rect>
        </w:pict>
      </w:r>
    </w:p>
    <w:p>
      <w:pPr>
        <w:pStyle w:val="BodyText"/>
        <w:rPr>
          <w:rFonts w:ascii="Arial"/>
          <w:b/>
          <w:sz w:val="9"/>
        </w:rPr>
      </w:pPr>
    </w:p>
    <w:p>
      <w:pPr>
        <w:pStyle w:val="BodyText"/>
        <w:rPr>
          <w:rFonts w:ascii="Arial"/>
          <w:b/>
          <w:sz w:val="9"/>
        </w:rPr>
      </w:pPr>
    </w:p>
    <w:p>
      <w:pPr>
        <w:pStyle w:val="BodyText"/>
        <w:rPr>
          <w:rFonts w:ascii="Arial"/>
          <w:b/>
          <w:sz w:val="9"/>
        </w:rPr>
      </w:pPr>
    </w:p>
    <w:p>
      <w:pPr>
        <w:pStyle w:val="BodyText"/>
        <w:rPr>
          <w:rFonts w:ascii="Arial"/>
          <w:b/>
          <w:sz w:val="9"/>
        </w:rPr>
      </w:pPr>
    </w:p>
    <w:p>
      <w:pPr>
        <w:pStyle w:val="BodyText"/>
        <w:rPr>
          <w:rFonts w:ascii="Arial"/>
          <w:b/>
          <w:sz w:val="9"/>
        </w:rPr>
      </w:pPr>
    </w:p>
    <w:p>
      <w:pPr>
        <w:pStyle w:val="BodyText"/>
        <w:spacing w:before="10"/>
        <w:rPr>
          <w:rFonts w:ascii="Arial"/>
          <w:b/>
          <w:sz w:val="7"/>
        </w:rPr>
      </w:pPr>
    </w:p>
    <w:p>
      <w:pPr>
        <w:pStyle w:val="BodyText"/>
        <w:spacing w:before="6"/>
        <w:rPr>
          <w:rFonts w:ascii="Arial"/>
          <w:b/>
          <w:sz w:val="8"/>
        </w:rPr>
      </w:pPr>
    </w:p>
    <w:p>
      <w:pPr>
        <w:pStyle w:val="BodyText"/>
        <w:rPr>
          <w:rFonts w:ascii="Arial"/>
          <w:b/>
          <w:sz w:val="11"/>
        </w:rPr>
      </w:pPr>
    </w:p>
    <w:p>
      <w:pPr>
        <w:pStyle w:val="BodyText"/>
        <w:rPr>
          <w:rFonts w:ascii="Arial"/>
          <w:b/>
          <w:sz w:val="10"/>
        </w:rPr>
      </w:pPr>
    </w:p>
    <w:p>
      <w:pPr>
        <w:pStyle w:val="BodyText"/>
        <w:spacing w:before="3"/>
        <w:rPr>
          <w:rFonts w:ascii="Arial"/>
          <w:b/>
          <w:sz w:val="12"/>
        </w:rPr>
      </w:pPr>
    </w:p>
    <w:p>
      <w:pPr>
        <w:spacing w:before="0"/>
        <w:ind w:left="153" w:right="0" w:firstLine="0"/>
        <w:jc w:val="left"/>
        <w:rPr>
          <w:rFonts w:ascii="Arial"/>
          <w:b/>
          <w:sz w:val="9"/>
        </w:rPr>
      </w:pPr>
      <w:r>
        <w:rPr>
          <w:rFonts w:ascii="Arial"/>
          <w:b/>
          <w:color w:val="231F20"/>
          <w:w w:val="90"/>
          <w:sz w:val="9"/>
        </w:rPr>
        <w:t>Yes No</w:t>
      </w:r>
    </w:p>
    <w:p>
      <w:pPr>
        <w:spacing w:line="135" w:lineRule="exact"/>
        <w:ind w:left="161" w:right="0" w:firstLine="0"/>
        <w:rPr>
          <w:rFonts w:ascii="Arial"/>
          <w:sz w:val="13"/>
        </w:rPr>
      </w:pPr>
      <w:r>
        <w:rPr>
          <w:rFonts w:ascii="Arial"/>
          <w:position w:val="-2"/>
          <w:sz w:val="13"/>
        </w:rPr>
        <w:pict>
          <v:group style="width:7pt;height:6.75pt;mso-position-horizontal-relative:char;mso-position-vertical-relative:line" coordorigin="0,0" coordsize="140,135">
            <v:rect style="position:absolute;left:3;top:3;width:133;height:128" filled="false" stroked="true" strokeweight=".375pt" strokecolor="#6d6e71">
              <v:stroke dashstyle="solid"/>
            </v:rect>
          </v:group>
        </w:pict>
      </w:r>
      <w:r>
        <w:rPr>
          <w:rFonts w:ascii="Arial"/>
          <w:position w:val="-2"/>
          <w:sz w:val="13"/>
        </w:rPr>
      </w:r>
      <w:r>
        <w:rPr>
          <w:spacing w:val="90"/>
          <w:position w:val="-2"/>
          <w:sz w:val="13"/>
        </w:rPr>
        <w:t> </w:t>
      </w:r>
      <w:r>
        <w:rPr>
          <w:rFonts w:ascii="Arial"/>
          <w:spacing w:val="90"/>
          <w:position w:val="-2"/>
          <w:sz w:val="13"/>
        </w:rPr>
        <w:pict>
          <v:group style="width:7pt;height:6.75pt;mso-position-horizontal-relative:char;mso-position-vertical-relative:line" coordorigin="0,0" coordsize="140,135">
            <v:rect style="position:absolute;left:3;top:3;width:133;height:128" filled="false" stroked="true" strokeweight=".375pt" strokecolor="#6d6e71">
              <v:stroke dashstyle="solid"/>
            </v:rect>
          </v:group>
        </w:pict>
      </w:r>
      <w:r>
        <w:rPr>
          <w:rFonts w:ascii="Arial"/>
          <w:spacing w:val="90"/>
          <w:position w:val="-2"/>
          <w:sz w:val="13"/>
        </w:rPr>
      </w:r>
    </w:p>
    <w:p>
      <w:pPr>
        <w:pStyle w:val="BodyText"/>
        <w:spacing w:before="3"/>
        <w:rPr>
          <w:rFonts w:ascii="Arial"/>
          <w:b/>
          <w:sz w:val="29"/>
        </w:rPr>
      </w:pPr>
      <w:r>
        <w:rPr/>
        <w:pict>
          <v:rect style="position:absolute;margin-left:194.904999pt;margin-top:19.001514pt;width:6.6255pt;height:6.375pt;mso-position-horizontal-relative:page;mso-position-vertical-relative:paragraph;z-index:-15702016;mso-wrap-distance-left:0;mso-wrap-distance-right:0" filled="false" stroked="true" strokeweight=".375pt" strokecolor="#6d6e71">
            <v:stroke dashstyle="solid"/>
            <w10:wrap type="topAndBottom"/>
          </v:rect>
        </w:pict>
      </w:r>
      <w:r>
        <w:rPr/>
        <w:pict>
          <v:rect style="position:absolute;margin-left:209.154999pt;margin-top:19.001514pt;width:6.6255pt;height:6.375pt;mso-position-horizontal-relative:page;mso-position-vertical-relative:paragraph;z-index:-15701504;mso-wrap-distance-left:0;mso-wrap-distance-right:0" filled="false" stroked="true" strokeweight=".375pt" strokecolor="#6d6e71">
            <v:stroke dashstyle="solid"/>
            <w10:wrap type="topAndBottom"/>
          </v:rect>
        </w:pict>
      </w:r>
      <w:r>
        <w:rPr/>
        <w:pict>
          <v:rect style="position:absolute;margin-left:223.354004pt;margin-top:19.001514pt;width:6.6248pt;height:6.375pt;mso-position-horizontal-relative:page;mso-position-vertical-relative:paragraph;z-index:-15700992;mso-wrap-distance-left:0;mso-wrap-distance-right:0" filled="false" stroked="true" strokeweight=".375pt" strokecolor="#6d6e71">
            <v:stroke dashstyle="solid"/>
            <w10:wrap type="topAndBottom"/>
          </v:rect>
        </w:pict>
      </w:r>
    </w:p>
    <w:p>
      <w:pPr>
        <w:pStyle w:val="BodyText"/>
        <w:spacing w:before="10"/>
        <w:rPr>
          <w:rFonts w:ascii="Arial"/>
          <w:b/>
          <w:sz w:val="23"/>
        </w:rPr>
      </w:pPr>
      <w:r>
        <w:rPr/>
        <w:br w:type="column"/>
      </w:r>
      <w:r>
        <w:rPr>
          <w:rFonts w:ascii="Arial"/>
          <w:b/>
          <w:sz w:val="23"/>
        </w:rPr>
      </w:r>
    </w:p>
    <w:p>
      <w:pPr>
        <w:spacing w:before="0"/>
        <w:ind w:left="19" w:right="890" w:firstLine="0"/>
        <w:jc w:val="center"/>
        <w:rPr>
          <w:rFonts w:ascii="Arial"/>
          <w:b/>
          <w:sz w:val="16"/>
        </w:rPr>
      </w:pPr>
      <w:r>
        <w:rPr>
          <w:position w:val="-5"/>
        </w:rPr>
        <w:drawing>
          <wp:inline distT="0" distB="0" distL="0" distR="0">
            <wp:extent cx="170766" cy="149161"/>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20" cstate="print"/>
                    <a:stretch>
                      <a:fillRect/>
                    </a:stretch>
                  </pic:blipFill>
                  <pic:spPr>
                    <a:xfrm>
                      <a:off x="0" y="0"/>
                      <a:ext cx="170766" cy="149161"/>
                    </a:xfrm>
                    <a:prstGeom prst="rect">
                      <a:avLst/>
                    </a:prstGeom>
                  </pic:spPr>
                </pic:pic>
              </a:graphicData>
            </a:graphic>
          </wp:inline>
        </w:drawing>
      </w:r>
      <w:r>
        <w:rPr>
          <w:position w:val="-5"/>
        </w:rPr>
      </w:r>
      <w:r>
        <w:rPr>
          <w:spacing w:val="-2"/>
          <w:sz w:val="20"/>
        </w:rPr>
        <w:t> </w:t>
      </w:r>
      <w:r>
        <w:rPr>
          <w:rFonts w:ascii="Arial"/>
          <w:b/>
          <w:color w:val="231F20"/>
          <w:w w:val="105"/>
          <w:sz w:val="16"/>
          <w:u w:val="single" w:color="231F20"/>
        </w:rPr>
        <w:t>MAIL</w:t>
      </w:r>
    </w:p>
    <w:p>
      <w:pPr>
        <w:pStyle w:val="ListParagraph"/>
        <w:numPr>
          <w:ilvl w:val="1"/>
          <w:numId w:val="13"/>
        </w:numPr>
        <w:tabs>
          <w:tab w:pos="1336" w:val="left" w:leader="none"/>
        </w:tabs>
        <w:spacing w:line="240" w:lineRule="auto" w:before="58" w:after="0"/>
        <w:ind w:left="1335" w:right="0" w:hanging="104"/>
        <w:jc w:val="left"/>
        <w:rPr>
          <w:rFonts w:ascii="Arial" w:hAnsi="Arial"/>
          <w:sz w:val="13"/>
        </w:rPr>
      </w:pPr>
      <w:r>
        <w:rPr>
          <w:rFonts w:ascii="Arial" w:hAnsi="Arial"/>
          <w:color w:val="231F20"/>
          <w:sz w:val="13"/>
        </w:rPr>
        <w:t>Mark,</w:t>
      </w:r>
      <w:r>
        <w:rPr>
          <w:rFonts w:ascii="Arial" w:hAnsi="Arial"/>
          <w:color w:val="231F20"/>
          <w:spacing w:val="-5"/>
          <w:sz w:val="13"/>
        </w:rPr>
        <w:t> </w:t>
      </w:r>
      <w:r>
        <w:rPr>
          <w:rFonts w:ascii="Arial" w:hAnsi="Arial"/>
          <w:color w:val="231F20"/>
          <w:sz w:val="13"/>
        </w:rPr>
        <w:t>sign</w:t>
      </w:r>
      <w:r>
        <w:rPr>
          <w:rFonts w:ascii="Arial" w:hAnsi="Arial"/>
          <w:color w:val="231F20"/>
          <w:spacing w:val="-5"/>
          <w:sz w:val="13"/>
        </w:rPr>
        <w:t> </w:t>
      </w:r>
      <w:r>
        <w:rPr>
          <w:rFonts w:ascii="Arial" w:hAnsi="Arial"/>
          <w:color w:val="231F20"/>
          <w:sz w:val="13"/>
        </w:rPr>
        <w:t>and</w:t>
      </w:r>
      <w:r>
        <w:rPr>
          <w:rFonts w:ascii="Arial" w:hAnsi="Arial"/>
          <w:color w:val="231F20"/>
          <w:spacing w:val="-5"/>
          <w:sz w:val="13"/>
        </w:rPr>
        <w:t> </w:t>
      </w:r>
      <w:r>
        <w:rPr>
          <w:rFonts w:ascii="Arial" w:hAnsi="Arial"/>
          <w:color w:val="231F20"/>
          <w:sz w:val="13"/>
        </w:rPr>
        <w:t>date</w:t>
      </w:r>
      <w:r>
        <w:rPr>
          <w:rFonts w:ascii="Arial" w:hAnsi="Arial"/>
          <w:color w:val="231F20"/>
          <w:spacing w:val="-5"/>
          <w:sz w:val="13"/>
        </w:rPr>
        <w:t> </w:t>
      </w:r>
      <w:r>
        <w:rPr>
          <w:rFonts w:ascii="Arial" w:hAnsi="Arial"/>
          <w:color w:val="231F20"/>
          <w:sz w:val="13"/>
        </w:rPr>
        <w:t>your</w:t>
      </w:r>
      <w:r>
        <w:rPr>
          <w:rFonts w:ascii="Arial" w:hAnsi="Arial"/>
          <w:color w:val="231F20"/>
          <w:spacing w:val="-4"/>
          <w:sz w:val="13"/>
        </w:rPr>
        <w:t> </w:t>
      </w:r>
      <w:r>
        <w:rPr>
          <w:rFonts w:ascii="Arial" w:hAnsi="Arial"/>
          <w:color w:val="231F20"/>
          <w:sz w:val="13"/>
        </w:rPr>
        <w:t>Voting</w:t>
      </w:r>
      <w:r>
        <w:rPr>
          <w:rFonts w:ascii="Arial" w:hAnsi="Arial"/>
          <w:color w:val="231F20"/>
          <w:spacing w:val="-5"/>
          <w:sz w:val="13"/>
        </w:rPr>
        <w:t> </w:t>
      </w:r>
      <w:r>
        <w:rPr>
          <w:rFonts w:ascii="Arial" w:hAnsi="Arial"/>
          <w:color w:val="231F20"/>
          <w:sz w:val="13"/>
        </w:rPr>
        <w:t>Instruction</w:t>
      </w:r>
      <w:r>
        <w:rPr>
          <w:rFonts w:ascii="Arial" w:hAnsi="Arial"/>
          <w:color w:val="231F20"/>
          <w:spacing w:val="-5"/>
          <w:sz w:val="13"/>
        </w:rPr>
        <w:t> </w:t>
      </w:r>
      <w:r>
        <w:rPr>
          <w:rFonts w:ascii="Arial" w:hAnsi="Arial"/>
          <w:color w:val="231F20"/>
          <w:sz w:val="13"/>
        </w:rPr>
        <w:t>Form.</w:t>
      </w:r>
    </w:p>
    <w:p>
      <w:pPr>
        <w:pStyle w:val="ListParagraph"/>
        <w:numPr>
          <w:ilvl w:val="1"/>
          <w:numId w:val="13"/>
        </w:numPr>
        <w:tabs>
          <w:tab w:pos="1336" w:val="left" w:leader="none"/>
        </w:tabs>
        <w:spacing w:line="240" w:lineRule="auto" w:before="1" w:after="0"/>
        <w:ind w:left="1335" w:right="0" w:hanging="104"/>
        <w:jc w:val="left"/>
        <w:rPr>
          <w:rFonts w:ascii="Arial" w:hAnsi="Arial"/>
          <w:sz w:val="13"/>
        </w:rPr>
      </w:pPr>
      <w:r>
        <w:rPr>
          <w:rFonts w:ascii="Arial" w:hAnsi="Arial"/>
          <w:color w:val="231F20"/>
          <w:sz w:val="13"/>
        </w:rPr>
        <w:t>Detach your Voting Instruction</w:t>
      </w:r>
      <w:r>
        <w:rPr>
          <w:rFonts w:ascii="Arial" w:hAnsi="Arial"/>
          <w:color w:val="231F20"/>
          <w:spacing w:val="-14"/>
          <w:sz w:val="13"/>
        </w:rPr>
        <w:t> </w:t>
      </w:r>
      <w:r>
        <w:rPr>
          <w:rFonts w:ascii="Arial" w:hAnsi="Arial"/>
          <w:color w:val="231F20"/>
          <w:sz w:val="13"/>
        </w:rPr>
        <w:t>Form.</w:t>
      </w:r>
    </w:p>
    <w:p>
      <w:pPr>
        <w:pStyle w:val="ListParagraph"/>
        <w:numPr>
          <w:ilvl w:val="1"/>
          <w:numId w:val="13"/>
        </w:numPr>
        <w:tabs>
          <w:tab w:pos="1336" w:val="left" w:leader="none"/>
        </w:tabs>
        <w:spacing w:line="240" w:lineRule="auto" w:before="0" w:after="0"/>
        <w:ind w:left="1335" w:right="2507" w:hanging="104"/>
        <w:jc w:val="left"/>
        <w:rPr>
          <w:rFonts w:ascii="Arial" w:hAnsi="Arial"/>
          <w:sz w:val="13"/>
        </w:rPr>
      </w:pPr>
      <w:r>
        <w:rPr>
          <w:rFonts w:ascii="Arial" w:hAnsi="Arial"/>
          <w:color w:val="231F20"/>
          <w:w w:val="95"/>
          <w:sz w:val="13"/>
        </w:rPr>
        <w:t>Return</w:t>
      </w:r>
      <w:r>
        <w:rPr>
          <w:rFonts w:ascii="Arial" w:hAnsi="Arial"/>
          <w:color w:val="231F20"/>
          <w:spacing w:val="-16"/>
          <w:w w:val="95"/>
          <w:sz w:val="13"/>
        </w:rPr>
        <w:t> </w:t>
      </w:r>
      <w:r>
        <w:rPr>
          <w:rFonts w:ascii="Arial" w:hAnsi="Arial"/>
          <w:color w:val="231F20"/>
          <w:w w:val="95"/>
          <w:sz w:val="13"/>
        </w:rPr>
        <w:t>your</w:t>
      </w:r>
      <w:r>
        <w:rPr>
          <w:rFonts w:ascii="Arial" w:hAnsi="Arial"/>
          <w:color w:val="231F20"/>
          <w:spacing w:val="-16"/>
          <w:w w:val="95"/>
          <w:sz w:val="13"/>
        </w:rPr>
        <w:t> </w:t>
      </w:r>
      <w:r>
        <w:rPr>
          <w:rFonts w:ascii="Arial" w:hAnsi="Arial"/>
          <w:color w:val="231F20"/>
          <w:w w:val="95"/>
          <w:sz w:val="13"/>
        </w:rPr>
        <w:t>Voting</w:t>
      </w:r>
      <w:r>
        <w:rPr>
          <w:rFonts w:ascii="Arial" w:hAnsi="Arial"/>
          <w:color w:val="231F20"/>
          <w:spacing w:val="-15"/>
          <w:w w:val="95"/>
          <w:sz w:val="13"/>
        </w:rPr>
        <w:t> </w:t>
      </w:r>
      <w:r>
        <w:rPr>
          <w:rFonts w:ascii="Arial" w:hAnsi="Arial"/>
          <w:color w:val="231F20"/>
          <w:w w:val="95"/>
          <w:sz w:val="13"/>
        </w:rPr>
        <w:t>Instruction</w:t>
      </w:r>
      <w:r>
        <w:rPr>
          <w:rFonts w:ascii="Arial" w:hAnsi="Arial"/>
          <w:color w:val="231F20"/>
          <w:spacing w:val="-16"/>
          <w:w w:val="95"/>
          <w:sz w:val="13"/>
        </w:rPr>
        <w:t> </w:t>
      </w:r>
      <w:r>
        <w:rPr>
          <w:rFonts w:ascii="Arial" w:hAnsi="Arial"/>
          <w:color w:val="231F20"/>
          <w:w w:val="95"/>
          <w:sz w:val="13"/>
        </w:rPr>
        <w:t>Form</w:t>
      </w:r>
      <w:r>
        <w:rPr>
          <w:rFonts w:ascii="Arial" w:hAnsi="Arial"/>
          <w:color w:val="231F20"/>
          <w:spacing w:val="-16"/>
          <w:w w:val="95"/>
          <w:sz w:val="13"/>
        </w:rPr>
        <w:t> </w:t>
      </w:r>
      <w:r>
        <w:rPr>
          <w:rFonts w:ascii="Arial" w:hAnsi="Arial"/>
          <w:color w:val="231F20"/>
          <w:w w:val="95"/>
          <w:sz w:val="13"/>
        </w:rPr>
        <w:t>in</w:t>
      </w:r>
      <w:r>
        <w:rPr>
          <w:rFonts w:ascii="Arial" w:hAnsi="Arial"/>
          <w:color w:val="231F20"/>
          <w:spacing w:val="-15"/>
          <w:w w:val="95"/>
          <w:sz w:val="13"/>
        </w:rPr>
        <w:t> </w:t>
      </w:r>
      <w:r>
        <w:rPr>
          <w:rFonts w:ascii="Arial" w:hAnsi="Arial"/>
          <w:color w:val="231F20"/>
          <w:spacing w:val="-5"/>
          <w:w w:val="95"/>
          <w:sz w:val="13"/>
        </w:rPr>
        <w:t>the </w:t>
      </w:r>
      <w:r>
        <w:rPr>
          <w:rFonts w:ascii="Arial" w:hAnsi="Arial"/>
          <w:color w:val="231F20"/>
          <w:sz w:val="13"/>
        </w:rPr>
        <w:t>postage-paid envelope</w:t>
      </w:r>
      <w:r>
        <w:rPr>
          <w:rFonts w:ascii="Arial" w:hAnsi="Arial"/>
          <w:color w:val="231F20"/>
          <w:spacing w:val="-25"/>
          <w:sz w:val="13"/>
        </w:rPr>
        <w:t> </w:t>
      </w:r>
      <w:r>
        <w:rPr>
          <w:rFonts w:ascii="Arial" w:hAnsi="Arial"/>
          <w:color w:val="231F20"/>
          <w:sz w:val="13"/>
        </w:rPr>
        <w:t>provided.</w:t>
      </w:r>
    </w:p>
    <w:p>
      <w:pPr>
        <w:pStyle w:val="BodyText"/>
        <w:rPr>
          <w:rFonts w:ascii="Arial"/>
          <w:sz w:val="16"/>
        </w:rPr>
      </w:pPr>
    </w:p>
    <w:p>
      <w:pPr>
        <w:pStyle w:val="BodyText"/>
        <w:spacing w:before="2"/>
        <w:rPr>
          <w:rFonts w:ascii="Arial"/>
          <w:sz w:val="16"/>
        </w:rPr>
      </w:pPr>
    </w:p>
    <w:p>
      <w:pPr>
        <w:spacing w:before="0"/>
        <w:ind w:left="22" w:right="890" w:firstLine="0"/>
        <w:jc w:val="center"/>
        <w:rPr>
          <w:rFonts w:ascii="Arial"/>
          <w:b/>
          <w:sz w:val="17"/>
        </w:rPr>
      </w:pPr>
      <w:r>
        <w:rPr>
          <w:rFonts w:ascii="Arial"/>
          <w:b/>
          <w:color w:val="231F20"/>
          <w:sz w:val="17"/>
        </w:rPr>
        <w:t>All votes must be received by 12:00 p.m. EST February 2, 2024.</w:t>
      </w:r>
    </w:p>
    <w:p>
      <w:pPr>
        <w:pStyle w:val="BodyText"/>
        <w:rPr>
          <w:rFonts w:ascii="Arial"/>
          <w:b/>
        </w:rPr>
      </w:pPr>
    </w:p>
    <w:p>
      <w:pPr>
        <w:pStyle w:val="BodyText"/>
        <w:rPr>
          <w:rFonts w:ascii="Arial"/>
          <w:b/>
        </w:rPr>
      </w:pPr>
    </w:p>
    <w:p>
      <w:pPr>
        <w:spacing w:line="190" w:lineRule="atLeast" w:before="145"/>
        <w:ind w:left="1863" w:right="2461" w:firstLine="0"/>
        <w:jc w:val="left"/>
        <w:rPr>
          <w:rFonts w:ascii="Arial"/>
          <w:b/>
          <w:sz w:val="13"/>
        </w:rPr>
      </w:pPr>
      <w:r>
        <w:rPr>
          <w:rFonts w:ascii="Arial"/>
          <w:b/>
          <w:color w:val="231F20"/>
          <w:w w:val="105"/>
          <w:sz w:val="13"/>
        </w:rPr>
        <w:t>PROXY TABULATOR FOR </w:t>
      </w:r>
      <w:r>
        <w:rPr>
          <w:rFonts w:ascii="Arial"/>
          <w:b/>
          <w:color w:val="939598"/>
          <w:w w:val="105"/>
          <w:sz w:val="13"/>
        </w:rPr>
        <w:t>SHL TELEMEDICINE LTD.</w:t>
      </w:r>
    </w:p>
    <w:p>
      <w:pPr>
        <w:spacing w:before="21"/>
        <w:ind w:left="1863" w:right="0" w:firstLine="0"/>
        <w:jc w:val="left"/>
        <w:rPr>
          <w:rFonts w:ascii="Arial"/>
          <w:b/>
          <w:sz w:val="13"/>
        </w:rPr>
      </w:pPr>
      <w:r>
        <w:rPr>
          <w:rFonts w:ascii="Arial"/>
          <w:b/>
          <w:color w:val="939598"/>
          <w:w w:val="105"/>
          <w:sz w:val="13"/>
        </w:rPr>
        <w:t>P.O. BOX 8016</w:t>
      </w:r>
    </w:p>
    <w:p>
      <w:pPr>
        <w:spacing w:before="15"/>
        <w:ind w:left="1863" w:right="0" w:firstLine="0"/>
        <w:jc w:val="left"/>
        <w:rPr>
          <w:rFonts w:ascii="Arial"/>
          <w:b/>
          <w:sz w:val="13"/>
        </w:rPr>
      </w:pPr>
      <w:r>
        <w:rPr>
          <w:rFonts w:ascii="Arial"/>
          <w:b/>
          <w:color w:val="939598"/>
          <w:w w:val="105"/>
          <w:sz w:val="13"/>
        </w:rPr>
        <w:t>CARY, NC 27512-9903</w:t>
      </w:r>
    </w:p>
    <w:p>
      <w:pPr>
        <w:spacing w:after="0"/>
        <w:jc w:val="left"/>
        <w:rPr>
          <w:rFonts w:ascii="Arial"/>
          <w:sz w:val="13"/>
        </w:rPr>
        <w:sectPr>
          <w:type w:val="continuous"/>
          <w:pgSz w:w="11880" w:h="15480"/>
          <w:pgMar w:top="700" w:bottom="280" w:left="300" w:right="0"/>
          <w:cols w:num="3" w:equalWidth="0">
            <w:col w:w="3364" w:space="63"/>
            <w:col w:w="1016" w:space="1101"/>
            <w:col w:w="6036"/>
          </w:cols>
        </w:sectPr>
      </w:pPr>
    </w:p>
    <w:p>
      <w:pPr>
        <w:pStyle w:val="BodyText"/>
        <w:rPr>
          <w:rFonts w:ascii="Arial"/>
          <w:b/>
        </w:rPr>
      </w:pPr>
    </w:p>
    <w:p>
      <w:pPr>
        <w:pStyle w:val="BodyText"/>
        <w:rPr>
          <w:rFonts w:ascii="Arial"/>
          <w:b/>
          <w:sz w:val="11"/>
        </w:rPr>
      </w:pPr>
    </w:p>
    <w:p>
      <w:pPr>
        <w:pStyle w:val="BodyText"/>
        <w:spacing w:line="20" w:lineRule="exact"/>
        <w:ind w:left="149"/>
        <w:rPr>
          <w:rFonts w:ascii="Arial"/>
          <w:sz w:val="2"/>
        </w:rPr>
      </w:pPr>
      <w:r>
        <w:rPr>
          <w:rFonts w:ascii="Arial"/>
          <w:sz w:val="2"/>
        </w:rPr>
        <w:pict>
          <v:group style="width:211.3pt;height:.4pt;mso-position-horizontal-relative:char;mso-position-vertical-relative:line" coordorigin="0,0" coordsize="4226,8">
            <v:line style="position:absolute" from="0,4" to="4226,4" stroked="true" strokeweight=".375pt" strokecolor="#231f20">
              <v:stroke dashstyle="solid"/>
            </v:line>
          </v:group>
        </w:pict>
      </w:r>
      <w:r>
        <w:rPr>
          <w:rFonts w:ascii="Arial"/>
          <w:sz w:val="2"/>
        </w:rPr>
      </w:r>
    </w:p>
    <w:p>
      <w:pPr>
        <w:spacing w:after="0" w:line="20" w:lineRule="exact"/>
        <w:rPr>
          <w:rFonts w:ascii="Arial"/>
          <w:sz w:val="2"/>
        </w:rPr>
        <w:sectPr>
          <w:type w:val="continuous"/>
          <w:pgSz w:w="11880" w:h="15480"/>
          <w:pgMar w:top="700" w:bottom="280" w:left="300" w:right="0"/>
        </w:sectPr>
      </w:pPr>
    </w:p>
    <w:p>
      <w:pPr>
        <w:pStyle w:val="ListParagraph"/>
        <w:numPr>
          <w:ilvl w:val="0"/>
          <w:numId w:val="14"/>
        </w:numPr>
        <w:tabs>
          <w:tab w:pos="286" w:val="left" w:leader="none"/>
        </w:tabs>
        <w:spacing w:line="249" w:lineRule="auto" w:before="29" w:after="0"/>
        <w:ind w:left="285" w:right="38" w:hanging="133"/>
        <w:jc w:val="left"/>
        <w:rPr>
          <w:rFonts w:ascii="Arial" w:hAnsi="Arial"/>
          <w:sz w:val="10"/>
        </w:rPr>
      </w:pPr>
      <w:r>
        <w:rPr/>
        <w:pict>
          <v:group style="position:absolute;margin-left:270.408508pt;margin-top:-36.953064pt;width:85.5pt;height:27.5pt;mso-position-horizontal-relative:page;mso-position-vertical-relative:paragraph;z-index:15762432" coordorigin="5408,-739" coordsize="1710,550">
            <v:rect style="position:absolute;left:5411;top:-736;width:1703;height:542" filled="true" fillcolor="#c7c8ca" stroked="false">
              <v:fill type="solid"/>
            </v:rect>
            <v:rect style="position:absolute;left:5411;top:-736;width:1703;height:542" filled="false" stroked="true" strokeweight=".375pt" strokecolor="#231f20">
              <v:stroke dashstyle="solid"/>
            </v:rect>
            <w10:wrap type="none"/>
          </v:group>
        </w:pict>
      </w:r>
      <w:r>
        <w:rPr/>
        <w:pict>
          <v:shape style="position:absolute;margin-left:253.505203pt;margin-top:-281.584167pt;width:9.35pt;height:275.3pt;mso-position-horizontal-relative:page;mso-position-vertical-relative:paragraph;z-index:15762944" type="#_x0000_t202" filled="false" stroked="false">
            <v:textbox inset="0,0,0,0" style="layout-flow:vertical;mso-layout-flow-alt:bottom-to-top">
              <w:txbxContent>
                <w:p>
                  <w:pPr>
                    <w:spacing w:before="24"/>
                    <w:ind w:left="20" w:right="0" w:firstLine="0"/>
                    <w:jc w:val="left"/>
                    <w:rPr>
                      <w:rFonts w:ascii="Arial" w:hAnsi="Arial"/>
                      <w:sz w:val="12"/>
                    </w:rPr>
                  </w:pPr>
                  <w:r>
                    <w:rPr>
                      <w:rFonts w:ascii="Arial" w:hAnsi="Arial"/>
                      <w:color w:val="231F20"/>
                      <w:sz w:val="12"/>
                    </w:rPr>
                    <w:t>Ç Please separate carefully at the perforation and return just this portion in the envelope provided. Ç</w:t>
                  </w:r>
                </w:p>
              </w:txbxContent>
            </v:textbox>
            <w10:wrap type="none"/>
          </v:shape>
        </w:pict>
      </w:r>
      <w:r>
        <w:rPr>
          <w:rFonts w:ascii="Arial" w:hAnsi="Arial"/>
          <w:color w:val="231F20"/>
          <w:w w:val="95"/>
          <w:sz w:val="10"/>
        </w:rPr>
        <w:t>As</w:t>
      </w:r>
      <w:r>
        <w:rPr>
          <w:rFonts w:ascii="Arial" w:hAnsi="Arial"/>
          <w:color w:val="231F20"/>
          <w:spacing w:val="-9"/>
          <w:w w:val="95"/>
          <w:sz w:val="10"/>
        </w:rPr>
        <w:t> </w:t>
      </w:r>
      <w:r>
        <w:rPr>
          <w:rFonts w:ascii="Arial" w:hAnsi="Arial"/>
          <w:color w:val="231F20"/>
          <w:w w:val="95"/>
          <w:sz w:val="10"/>
        </w:rPr>
        <w:t>such</w:t>
      </w:r>
      <w:r>
        <w:rPr>
          <w:rFonts w:ascii="Arial" w:hAnsi="Arial"/>
          <w:color w:val="231F20"/>
          <w:spacing w:val="-9"/>
          <w:w w:val="95"/>
          <w:sz w:val="10"/>
        </w:rPr>
        <w:t> </w:t>
      </w:r>
      <w:r>
        <w:rPr>
          <w:rFonts w:ascii="Arial" w:hAnsi="Arial"/>
          <w:color w:val="231F20"/>
          <w:w w:val="95"/>
          <w:sz w:val="10"/>
        </w:rPr>
        <w:t>term</w:t>
      </w:r>
      <w:r>
        <w:rPr>
          <w:rFonts w:ascii="Arial" w:hAnsi="Arial"/>
          <w:color w:val="231F20"/>
          <w:spacing w:val="-9"/>
          <w:w w:val="95"/>
          <w:sz w:val="10"/>
        </w:rPr>
        <w:t> </w:t>
      </w:r>
      <w:r>
        <w:rPr>
          <w:rFonts w:ascii="Arial" w:hAnsi="Arial"/>
          <w:color w:val="231F20"/>
          <w:w w:val="95"/>
          <w:sz w:val="10"/>
        </w:rPr>
        <w:t>is</w:t>
      </w:r>
      <w:r>
        <w:rPr>
          <w:rFonts w:ascii="Arial" w:hAnsi="Arial"/>
          <w:color w:val="231F20"/>
          <w:spacing w:val="-9"/>
          <w:w w:val="95"/>
          <w:sz w:val="10"/>
        </w:rPr>
        <w:t> </w:t>
      </w:r>
      <w:r>
        <w:rPr>
          <w:rFonts w:ascii="Arial" w:hAnsi="Arial"/>
          <w:color w:val="231F20"/>
          <w:w w:val="95"/>
          <w:sz w:val="10"/>
        </w:rPr>
        <w:t>deﬁned</w:t>
      </w:r>
      <w:r>
        <w:rPr>
          <w:rFonts w:ascii="Arial" w:hAnsi="Arial"/>
          <w:color w:val="231F20"/>
          <w:spacing w:val="-8"/>
          <w:w w:val="95"/>
          <w:sz w:val="10"/>
        </w:rPr>
        <w:t> </w:t>
      </w:r>
      <w:r>
        <w:rPr>
          <w:rFonts w:ascii="Arial" w:hAnsi="Arial"/>
          <w:color w:val="231F20"/>
          <w:w w:val="95"/>
          <w:sz w:val="10"/>
        </w:rPr>
        <w:t>in</w:t>
      </w:r>
      <w:r>
        <w:rPr>
          <w:rFonts w:ascii="Arial" w:hAnsi="Arial"/>
          <w:color w:val="231F20"/>
          <w:spacing w:val="-9"/>
          <w:w w:val="95"/>
          <w:sz w:val="10"/>
        </w:rPr>
        <w:t> </w:t>
      </w:r>
      <w:r>
        <w:rPr>
          <w:rFonts w:ascii="Arial" w:hAnsi="Arial"/>
          <w:color w:val="231F20"/>
          <w:w w:val="95"/>
          <w:sz w:val="10"/>
        </w:rPr>
        <w:t>the</w:t>
      </w:r>
      <w:r>
        <w:rPr>
          <w:rFonts w:ascii="Arial" w:hAnsi="Arial"/>
          <w:color w:val="231F20"/>
          <w:spacing w:val="-9"/>
          <w:w w:val="95"/>
          <w:sz w:val="10"/>
        </w:rPr>
        <w:t> </w:t>
      </w:r>
      <w:r>
        <w:rPr>
          <w:rFonts w:ascii="Arial" w:hAnsi="Arial"/>
          <w:color w:val="231F20"/>
          <w:w w:val="95"/>
          <w:sz w:val="10"/>
        </w:rPr>
        <w:t>Israel</w:t>
      </w:r>
      <w:r>
        <w:rPr>
          <w:rFonts w:ascii="Arial" w:hAnsi="Arial"/>
          <w:color w:val="231F20"/>
          <w:spacing w:val="-9"/>
          <w:w w:val="95"/>
          <w:sz w:val="10"/>
        </w:rPr>
        <w:t> </w:t>
      </w:r>
      <w:r>
        <w:rPr>
          <w:rFonts w:ascii="Arial" w:hAnsi="Arial"/>
          <w:color w:val="231F20"/>
          <w:w w:val="95"/>
          <w:sz w:val="10"/>
        </w:rPr>
        <w:t>Companies</w:t>
      </w:r>
      <w:r>
        <w:rPr>
          <w:rFonts w:ascii="Arial" w:hAnsi="Arial"/>
          <w:color w:val="231F20"/>
          <w:spacing w:val="-9"/>
          <w:w w:val="95"/>
          <w:sz w:val="10"/>
        </w:rPr>
        <w:t> </w:t>
      </w:r>
      <w:r>
        <w:rPr>
          <w:rFonts w:ascii="Arial" w:hAnsi="Arial"/>
          <w:color w:val="231F20"/>
          <w:w w:val="95"/>
          <w:sz w:val="10"/>
        </w:rPr>
        <w:t>Law</w:t>
      </w:r>
      <w:r>
        <w:rPr>
          <w:rFonts w:ascii="Arial" w:hAnsi="Arial"/>
          <w:color w:val="231F20"/>
          <w:spacing w:val="-8"/>
          <w:w w:val="95"/>
          <w:sz w:val="10"/>
        </w:rPr>
        <w:t> </w:t>
      </w:r>
      <w:r>
        <w:rPr>
          <w:rFonts w:ascii="Arial" w:hAnsi="Arial"/>
          <w:color w:val="231F20"/>
          <w:w w:val="95"/>
          <w:sz w:val="10"/>
        </w:rPr>
        <w:t>and</w:t>
      </w:r>
      <w:r>
        <w:rPr>
          <w:rFonts w:ascii="Arial" w:hAnsi="Arial"/>
          <w:color w:val="231F20"/>
          <w:spacing w:val="-9"/>
          <w:w w:val="95"/>
          <w:sz w:val="10"/>
        </w:rPr>
        <w:t> </w:t>
      </w:r>
      <w:r>
        <w:rPr>
          <w:rFonts w:ascii="Arial" w:hAnsi="Arial"/>
          <w:color w:val="231F20"/>
          <w:w w:val="95"/>
          <w:sz w:val="10"/>
        </w:rPr>
        <w:t>as</w:t>
      </w:r>
      <w:r>
        <w:rPr>
          <w:rFonts w:ascii="Arial" w:hAnsi="Arial"/>
          <w:color w:val="231F20"/>
          <w:spacing w:val="-9"/>
          <w:w w:val="95"/>
          <w:sz w:val="10"/>
        </w:rPr>
        <w:t> </w:t>
      </w:r>
      <w:r>
        <w:rPr>
          <w:rFonts w:ascii="Arial" w:hAnsi="Arial"/>
          <w:color w:val="231F20"/>
          <w:w w:val="95"/>
          <w:sz w:val="10"/>
        </w:rPr>
        <w:t>described</w:t>
      </w:r>
      <w:r>
        <w:rPr>
          <w:rFonts w:ascii="Arial" w:hAnsi="Arial"/>
          <w:color w:val="231F20"/>
          <w:spacing w:val="-9"/>
          <w:w w:val="95"/>
          <w:sz w:val="10"/>
        </w:rPr>
        <w:t> </w:t>
      </w:r>
      <w:r>
        <w:rPr>
          <w:rFonts w:ascii="Arial" w:hAnsi="Arial"/>
          <w:color w:val="231F20"/>
          <w:w w:val="95"/>
          <w:sz w:val="10"/>
        </w:rPr>
        <w:t>in</w:t>
      </w:r>
      <w:r>
        <w:rPr>
          <w:rFonts w:ascii="Arial" w:hAnsi="Arial"/>
          <w:color w:val="231F20"/>
          <w:spacing w:val="-9"/>
          <w:w w:val="95"/>
          <w:sz w:val="10"/>
        </w:rPr>
        <w:t> </w:t>
      </w:r>
      <w:r>
        <w:rPr>
          <w:rFonts w:ascii="Arial" w:hAnsi="Arial"/>
          <w:color w:val="231F20"/>
          <w:w w:val="95"/>
          <w:sz w:val="10"/>
        </w:rPr>
        <w:t>the</w:t>
      </w:r>
      <w:r>
        <w:rPr>
          <w:rFonts w:ascii="Arial" w:hAnsi="Arial"/>
          <w:color w:val="231F20"/>
          <w:spacing w:val="-8"/>
          <w:w w:val="95"/>
          <w:sz w:val="10"/>
        </w:rPr>
        <w:t> </w:t>
      </w:r>
      <w:r>
        <w:rPr>
          <w:rFonts w:ascii="Arial" w:hAnsi="Arial"/>
          <w:color w:val="231F20"/>
          <w:w w:val="95"/>
          <w:sz w:val="10"/>
        </w:rPr>
        <w:t>Proxy</w:t>
      </w:r>
      <w:r>
        <w:rPr>
          <w:rFonts w:ascii="Arial" w:hAnsi="Arial"/>
          <w:color w:val="231F20"/>
          <w:spacing w:val="-9"/>
          <w:w w:val="95"/>
          <w:sz w:val="10"/>
        </w:rPr>
        <w:t> </w:t>
      </w:r>
      <w:r>
        <w:rPr>
          <w:rFonts w:ascii="Arial" w:hAnsi="Arial"/>
          <w:color w:val="231F20"/>
          <w:w w:val="95"/>
          <w:sz w:val="10"/>
        </w:rPr>
        <w:t>Statement</w:t>
      </w:r>
      <w:r>
        <w:rPr>
          <w:rFonts w:ascii="Arial" w:hAnsi="Arial"/>
          <w:color w:val="231F20"/>
          <w:spacing w:val="-9"/>
          <w:w w:val="95"/>
          <w:sz w:val="10"/>
        </w:rPr>
        <w:t> </w:t>
      </w:r>
      <w:r>
        <w:rPr>
          <w:rFonts w:ascii="Arial" w:hAnsi="Arial"/>
          <w:color w:val="231F20"/>
          <w:w w:val="95"/>
          <w:sz w:val="10"/>
        </w:rPr>
        <w:t>for</w:t>
      </w:r>
      <w:r>
        <w:rPr>
          <w:rFonts w:ascii="Arial" w:hAnsi="Arial"/>
          <w:color w:val="231F20"/>
          <w:spacing w:val="-9"/>
          <w:w w:val="95"/>
          <w:sz w:val="10"/>
        </w:rPr>
        <w:t> </w:t>
      </w:r>
      <w:r>
        <w:rPr>
          <w:rFonts w:ascii="Arial" w:hAnsi="Arial"/>
          <w:color w:val="231F20"/>
          <w:w w:val="95"/>
          <w:sz w:val="10"/>
        </w:rPr>
        <w:t>the Annual General</w:t>
      </w:r>
      <w:r>
        <w:rPr>
          <w:rFonts w:ascii="Arial" w:hAnsi="Arial"/>
          <w:color w:val="231F20"/>
          <w:spacing w:val="-1"/>
          <w:w w:val="95"/>
          <w:sz w:val="10"/>
        </w:rPr>
        <w:t> </w:t>
      </w:r>
      <w:r>
        <w:rPr>
          <w:rFonts w:ascii="Arial" w:hAnsi="Arial"/>
          <w:color w:val="231F20"/>
          <w:w w:val="95"/>
          <w:sz w:val="10"/>
        </w:rPr>
        <w:t>Meeting.</w:t>
      </w:r>
    </w:p>
    <w:p>
      <w:pPr>
        <w:pStyle w:val="ListParagraph"/>
        <w:numPr>
          <w:ilvl w:val="0"/>
          <w:numId w:val="14"/>
        </w:numPr>
        <w:tabs>
          <w:tab w:pos="286" w:val="left" w:leader="none"/>
        </w:tabs>
        <w:spacing w:line="249" w:lineRule="auto" w:before="68" w:after="0"/>
        <w:ind w:left="285" w:right="38" w:hanging="133"/>
        <w:jc w:val="left"/>
        <w:rPr>
          <w:rFonts w:ascii="Arial" w:hAnsi="Arial"/>
          <w:sz w:val="10"/>
        </w:rPr>
      </w:pPr>
      <w:r>
        <w:rPr>
          <w:rFonts w:ascii="Arial" w:hAnsi="Arial"/>
          <w:color w:val="231F20"/>
          <w:w w:val="95"/>
          <w:sz w:val="10"/>
        </w:rPr>
        <w:t>In</w:t>
      </w:r>
      <w:r>
        <w:rPr>
          <w:rFonts w:ascii="Arial" w:hAnsi="Arial"/>
          <w:color w:val="231F20"/>
          <w:spacing w:val="-15"/>
          <w:w w:val="95"/>
          <w:sz w:val="10"/>
        </w:rPr>
        <w:t> </w:t>
      </w:r>
      <w:r>
        <w:rPr>
          <w:rFonts w:ascii="Arial" w:hAnsi="Arial"/>
          <w:color w:val="231F20"/>
          <w:w w:val="95"/>
          <w:sz w:val="10"/>
        </w:rPr>
        <w:t>the</w:t>
      </w:r>
      <w:r>
        <w:rPr>
          <w:rFonts w:ascii="Arial" w:hAnsi="Arial"/>
          <w:color w:val="231F20"/>
          <w:spacing w:val="-14"/>
          <w:w w:val="95"/>
          <w:sz w:val="10"/>
        </w:rPr>
        <w:t> </w:t>
      </w:r>
      <w:r>
        <w:rPr>
          <w:rFonts w:ascii="Arial" w:hAnsi="Arial"/>
          <w:color w:val="231F20"/>
          <w:w w:val="95"/>
          <w:sz w:val="10"/>
        </w:rPr>
        <w:t>event</w:t>
      </w:r>
      <w:r>
        <w:rPr>
          <w:rFonts w:ascii="Arial" w:hAnsi="Arial"/>
          <w:color w:val="231F20"/>
          <w:spacing w:val="-14"/>
          <w:w w:val="95"/>
          <w:sz w:val="10"/>
        </w:rPr>
        <w:t> </w:t>
      </w:r>
      <w:r>
        <w:rPr>
          <w:rFonts w:ascii="Arial" w:hAnsi="Arial"/>
          <w:color w:val="231F20"/>
          <w:w w:val="95"/>
          <w:sz w:val="10"/>
        </w:rPr>
        <w:t>you</w:t>
      </w:r>
      <w:r>
        <w:rPr>
          <w:rFonts w:ascii="Arial" w:hAnsi="Arial"/>
          <w:color w:val="231F20"/>
          <w:spacing w:val="-14"/>
          <w:w w:val="95"/>
          <w:sz w:val="10"/>
        </w:rPr>
        <w:t> </w:t>
      </w:r>
      <w:r>
        <w:rPr>
          <w:rFonts w:ascii="Arial" w:hAnsi="Arial"/>
          <w:color w:val="231F20"/>
          <w:w w:val="95"/>
          <w:sz w:val="10"/>
        </w:rPr>
        <w:t>either</w:t>
      </w:r>
      <w:r>
        <w:rPr>
          <w:rFonts w:ascii="Arial" w:hAnsi="Arial"/>
          <w:color w:val="231F20"/>
          <w:spacing w:val="-14"/>
          <w:w w:val="95"/>
          <w:sz w:val="10"/>
        </w:rPr>
        <w:t> </w:t>
      </w:r>
      <w:r>
        <w:rPr>
          <w:rFonts w:ascii="Arial" w:hAnsi="Arial"/>
          <w:color w:val="231F20"/>
          <w:w w:val="95"/>
          <w:sz w:val="10"/>
        </w:rPr>
        <w:t>fail</w:t>
      </w:r>
      <w:r>
        <w:rPr>
          <w:rFonts w:ascii="Arial" w:hAnsi="Arial"/>
          <w:color w:val="231F20"/>
          <w:spacing w:val="-14"/>
          <w:w w:val="95"/>
          <w:sz w:val="10"/>
        </w:rPr>
        <w:t> </w:t>
      </w:r>
      <w:r>
        <w:rPr>
          <w:rFonts w:ascii="Arial" w:hAnsi="Arial"/>
          <w:color w:val="231F20"/>
          <w:w w:val="95"/>
          <w:sz w:val="10"/>
        </w:rPr>
        <w:t>to</w:t>
      </w:r>
      <w:r>
        <w:rPr>
          <w:rFonts w:ascii="Arial" w:hAnsi="Arial"/>
          <w:color w:val="231F20"/>
          <w:spacing w:val="-14"/>
          <w:w w:val="95"/>
          <w:sz w:val="10"/>
        </w:rPr>
        <w:t> </w:t>
      </w:r>
      <w:r>
        <w:rPr>
          <w:rFonts w:ascii="Arial" w:hAnsi="Arial"/>
          <w:color w:val="231F20"/>
          <w:w w:val="95"/>
          <w:sz w:val="10"/>
        </w:rPr>
        <w:t>check</w:t>
      </w:r>
      <w:r>
        <w:rPr>
          <w:rFonts w:ascii="Arial" w:hAnsi="Arial"/>
          <w:color w:val="231F20"/>
          <w:spacing w:val="-14"/>
          <w:w w:val="95"/>
          <w:sz w:val="10"/>
        </w:rPr>
        <w:t> </w:t>
      </w:r>
      <w:r>
        <w:rPr>
          <w:rFonts w:ascii="Arial" w:hAnsi="Arial"/>
          <w:color w:val="231F20"/>
          <w:w w:val="95"/>
          <w:sz w:val="10"/>
        </w:rPr>
        <w:t>this</w:t>
      </w:r>
      <w:r>
        <w:rPr>
          <w:rFonts w:ascii="Arial" w:hAnsi="Arial"/>
          <w:color w:val="231F20"/>
          <w:spacing w:val="-14"/>
          <w:w w:val="95"/>
          <w:sz w:val="10"/>
        </w:rPr>
        <w:t> </w:t>
      </w:r>
      <w:r>
        <w:rPr>
          <w:rFonts w:ascii="Arial" w:hAnsi="Arial"/>
          <w:color w:val="231F20"/>
          <w:w w:val="95"/>
          <w:sz w:val="10"/>
        </w:rPr>
        <w:t>box</w:t>
      </w:r>
      <w:r>
        <w:rPr>
          <w:rFonts w:ascii="Arial" w:hAnsi="Arial"/>
          <w:color w:val="231F20"/>
          <w:spacing w:val="-14"/>
          <w:w w:val="95"/>
          <w:sz w:val="10"/>
        </w:rPr>
        <w:t> </w:t>
      </w:r>
      <w:r>
        <w:rPr>
          <w:rFonts w:ascii="Arial" w:hAnsi="Arial"/>
          <w:color w:val="231F20"/>
          <w:w w:val="95"/>
          <w:sz w:val="10"/>
        </w:rPr>
        <w:t>or</w:t>
      </w:r>
      <w:r>
        <w:rPr>
          <w:rFonts w:ascii="Arial" w:hAnsi="Arial"/>
          <w:color w:val="231F20"/>
          <w:spacing w:val="-15"/>
          <w:w w:val="95"/>
          <w:sz w:val="10"/>
        </w:rPr>
        <w:t> </w:t>
      </w:r>
      <w:r>
        <w:rPr>
          <w:rFonts w:ascii="Arial" w:hAnsi="Arial"/>
          <w:color w:val="231F20"/>
          <w:w w:val="95"/>
          <w:sz w:val="10"/>
        </w:rPr>
        <w:t>mark</w:t>
      </w:r>
      <w:r>
        <w:rPr>
          <w:rFonts w:ascii="Arial" w:hAnsi="Arial"/>
          <w:color w:val="231F20"/>
          <w:spacing w:val="-14"/>
          <w:w w:val="95"/>
          <w:sz w:val="10"/>
        </w:rPr>
        <w:t> </w:t>
      </w:r>
      <w:r>
        <w:rPr>
          <w:rFonts w:ascii="Arial" w:hAnsi="Arial"/>
          <w:color w:val="231F20"/>
          <w:w w:val="95"/>
          <w:sz w:val="10"/>
        </w:rPr>
        <w:t>“Yes”</w:t>
      </w:r>
      <w:r>
        <w:rPr>
          <w:rFonts w:ascii="Arial" w:hAnsi="Arial"/>
          <w:color w:val="231F20"/>
          <w:spacing w:val="-14"/>
          <w:w w:val="95"/>
          <w:sz w:val="10"/>
        </w:rPr>
        <w:t> </w:t>
      </w:r>
      <w:r>
        <w:rPr>
          <w:rFonts w:ascii="Arial" w:hAnsi="Arial"/>
          <w:color w:val="231F20"/>
          <w:w w:val="95"/>
          <w:sz w:val="10"/>
        </w:rPr>
        <w:t>but</w:t>
      </w:r>
      <w:r>
        <w:rPr>
          <w:rFonts w:ascii="Arial" w:hAnsi="Arial"/>
          <w:color w:val="231F20"/>
          <w:spacing w:val="-14"/>
          <w:w w:val="95"/>
          <w:sz w:val="10"/>
        </w:rPr>
        <w:t> </w:t>
      </w:r>
      <w:r>
        <w:rPr>
          <w:rFonts w:ascii="Arial" w:hAnsi="Arial"/>
          <w:color w:val="231F20"/>
          <w:w w:val="95"/>
          <w:sz w:val="10"/>
        </w:rPr>
        <w:t>fail</w:t>
      </w:r>
      <w:r>
        <w:rPr>
          <w:rFonts w:ascii="Arial" w:hAnsi="Arial"/>
          <w:color w:val="231F20"/>
          <w:spacing w:val="-14"/>
          <w:w w:val="95"/>
          <w:sz w:val="10"/>
        </w:rPr>
        <w:t> </w:t>
      </w:r>
      <w:r>
        <w:rPr>
          <w:rFonts w:ascii="Arial" w:hAnsi="Arial"/>
          <w:color w:val="231F20"/>
          <w:w w:val="95"/>
          <w:sz w:val="10"/>
        </w:rPr>
        <w:t>to</w:t>
      </w:r>
      <w:r>
        <w:rPr>
          <w:rFonts w:ascii="Arial" w:hAnsi="Arial"/>
          <w:color w:val="231F20"/>
          <w:spacing w:val="-14"/>
          <w:w w:val="95"/>
          <w:sz w:val="10"/>
        </w:rPr>
        <w:t> </w:t>
      </w:r>
      <w:r>
        <w:rPr>
          <w:rFonts w:ascii="Arial" w:hAnsi="Arial"/>
          <w:color w:val="231F20"/>
          <w:w w:val="95"/>
          <w:sz w:val="10"/>
        </w:rPr>
        <w:t>describe</w:t>
      </w:r>
      <w:r>
        <w:rPr>
          <w:rFonts w:ascii="Arial" w:hAnsi="Arial"/>
          <w:color w:val="231F20"/>
          <w:spacing w:val="-14"/>
          <w:w w:val="95"/>
          <w:sz w:val="10"/>
        </w:rPr>
        <w:t> </w:t>
      </w:r>
      <w:r>
        <w:rPr>
          <w:rFonts w:ascii="Arial" w:hAnsi="Arial"/>
          <w:color w:val="231F20"/>
          <w:w w:val="95"/>
          <w:sz w:val="10"/>
        </w:rPr>
        <w:t>the</w:t>
      </w:r>
      <w:r>
        <w:rPr>
          <w:rFonts w:ascii="Arial" w:hAnsi="Arial"/>
          <w:color w:val="231F20"/>
          <w:spacing w:val="-14"/>
          <w:w w:val="95"/>
          <w:sz w:val="10"/>
        </w:rPr>
        <w:t> </w:t>
      </w:r>
      <w:r>
        <w:rPr>
          <w:rFonts w:ascii="Arial" w:hAnsi="Arial"/>
          <w:color w:val="231F20"/>
          <w:w w:val="95"/>
          <w:sz w:val="10"/>
        </w:rPr>
        <w:t>nature</w:t>
      </w:r>
      <w:r>
        <w:rPr>
          <w:rFonts w:ascii="Arial" w:hAnsi="Arial"/>
          <w:color w:val="231F20"/>
          <w:spacing w:val="-14"/>
          <w:w w:val="95"/>
          <w:sz w:val="10"/>
        </w:rPr>
        <w:t> </w:t>
      </w:r>
      <w:r>
        <w:rPr>
          <w:rFonts w:ascii="Arial" w:hAnsi="Arial"/>
          <w:color w:val="231F20"/>
          <w:w w:val="95"/>
          <w:sz w:val="10"/>
        </w:rPr>
        <w:t>of</w:t>
      </w:r>
      <w:r>
        <w:rPr>
          <w:rFonts w:ascii="Arial" w:hAnsi="Arial"/>
          <w:color w:val="231F20"/>
          <w:spacing w:val="-14"/>
          <w:w w:val="95"/>
          <w:sz w:val="10"/>
        </w:rPr>
        <w:t> </w:t>
      </w:r>
      <w:r>
        <w:rPr>
          <w:rFonts w:ascii="Arial" w:hAnsi="Arial"/>
          <w:color w:val="231F20"/>
          <w:w w:val="95"/>
          <w:sz w:val="10"/>
        </w:rPr>
        <w:t>your</w:t>
      </w:r>
      <w:r>
        <w:rPr>
          <w:rFonts w:ascii="Arial" w:hAnsi="Arial"/>
          <w:color w:val="231F20"/>
          <w:spacing w:val="-15"/>
          <w:w w:val="95"/>
          <w:sz w:val="10"/>
        </w:rPr>
        <w:t> </w:t>
      </w:r>
      <w:r>
        <w:rPr>
          <w:rFonts w:ascii="Arial" w:hAnsi="Arial"/>
          <w:color w:val="231F20"/>
          <w:w w:val="95"/>
          <w:sz w:val="10"/>
        </w:rPr>
        <w:t>personal </w:t>
      </w:r>
      <w:r>
        <w:rPr>
          <w:rFonts w:ascii="Arial" w:hAnsi="Arial"/>
          <w:color w:val="231F20"/>
          <w:sz w:val="10"/>
        </w:rPr>
        <w:t>beneﬁt</w:t>
      </w:r>
      <w:r>
        <w:rPr>
          <w:rFonts w:ascii="Arial" w:hAnsi="Arial"/>
          <w:color w:val="231F20"/>
          <w:spacing w:val="-5"/>
          <w:sz w:val="10"/>
        </w:rPr>
        <w:t> </w:t>
      </w:r>
      <w:r>
        <w:rPr>
          <w:rFonts w:ascii="Arial" w:hAnsi="Arial"/>
          <w:color w:val="231F20"/>
          <w:sz w:val="10"/>
        </w:rPr>
        <w:t>or</w:t>
      </w:r>
      <w:r>
        <w:rPr>
          <w:rFonts w:ascii="Arial" w:hAnsi="Arial"/>
          <w:color w:val="231F20"/>
          <w:spacing w:val="-4"/>
          <w:sz w:val="10"/>
        </w:rPr>
        <w:t> </w:t>
      </w:r>
      <w:r>
        <w:rPr>
          <w:rFonts w:ascii="Arial" w:hAnsi="Arial"/>
          <w:color w:val="231F20"/>
          <w:sz w:val="10"/>
        </w:rPr>
        <w:t>other</w:t>
      </w:r>
      <w:r>
        <w:rPr>
          <w:rFonts w:ascii="Arial" w:hAnsi="Arial"/>
          <w:color w:val="231F20"/>
          <w:spacing w:val="-4"/>
          <w:sz w:val="10"/>
        </w:rPr>
        <w:t> </w:t>
      </w:r>
      <w:r>
        <w:rPr>
          <w:rFonts w:ascii="Arial" w:hAnsi="Arial"/>
          <w:color w:val="231F20"/>
          <w:sz w:val="10"/>
        </w:rPr>
        <w:t>interest,</w:t>
      </w:r>
      <w:r>
        <w:rPr>
          <w:rFonts w:ascii="Arial" w:hAnsi="Arial"/>
          <w:color w:val="231F20"/>
          <w:spacing w:val="-4"/>
          <w:sz w:val="10"/>
        </w:rPr>
        <w:t> </w:t>
      </w:r>
      <w:r>
        <w:rPr>
          <w:rFonts w:ascii="Arial" w:hAnsi="Arial"/>
          <w:color w:val="231F20"/>
          <w:sz w:val="10"/>
        </w:rPr>
        <w:t>your</w:t>
      </w:r>
      <w:r>
        <w:rPr>
          <w:rFonts w:ascii="Arial" w:hAnsi="Arial"/>
          <w:color w:val="231F20"/>
          <w:spacing w:val="-4"/>
          <w:sz w:val="10"/>
        </w:rPr>
        <w:t> </w:t>
      </w:r>
      <w:r>
        <w:rPr>
          <w:rFonts w:ascii="Arial" w:hAnsi="Arial"/>
          <w:color w:val="231F20"/>
          <w:sz w:val="10"/>
        </w:rPr>
        <w:t>vote</w:t>
      </w:r>
      <w:r>
        <w:rPr>
          <w:rFonts w:ascii="Arial" w:hAnsi="Arial"/>
          <w:color w:val="231F20"/>
          <w:spacing w:val="-4"/>
          <w:sz w:val="10"/>
        </w:rPr>
        <w:t> </w:t>
      </w:r>
      <w:r>
        <w:rPr>
          <w:rFonts w:ascii="Arial" w:hAnsi="Arial"/>
          <w:color w:val="231F20"/>
          <w:sz w:val="10"/>
        </w:rPr>
        <w:t>will</w:t>
      </w:r>
      <w:r>
        <w:rPr>
          <w:rFonts w:ascii="Arial" w:hAnsi="Arial"/>
          <w:color w:val="231F20"/>
          <w:spacing w:val="-4"/>
          <w:sz w:val="10"/>
        </w:rPr>
        <w:t> </w:t>
      </w:r>
      <w:r>
        <w:rPr>
          <w:rFonts w:ascii="Arial" w:hAnsi="Arial"/>
          <w:color w:val="231F20"/>
          <w:sz w:val="10"/>
        </w:rPr>
        <w:t>not</w:t>
      </w:r>
      <w:r>
        <w:rPr>
          <w:rFonts w:ascii="Arial" w:hAnsi="Arial"/>
          <w:color w:val="231F20"/>
          <w:spacing w:val="-4"/>
          <w:sz w:val="10"/>
        </w:rPr>
        <w:t> </w:t>
      </w:r>
      <w:r>
        <w:rPr>
          <w:rFonts w:ascii="Arial" w:hAnsi="Arial"/>
          <w:color w:val="231F20"/>
          <w:sz w:val="10"/>
        </w:rPr>
        <w:t>be</w:t>
      </w:r>
      <w:r>
        <w:rPr>
          <w:rFonts w:ascii="Arial" w:hAnsi="Arial"/>
          <w:color w:val="231F20"/>
          <w:spacing w:val="-4"/>
          <w:sz w:val="10"/>
        </w:rPr>
        <w:t> </w:t>
      </w:r>
      <w:r>
        <w:rPr>
          <w:rFonts w:ascii="Arial" w:hAnsi="Arial"/>
          <w:color w:val="231F20"/>
          <w:sz w:val="10"/>
        </w:rPr>
        <w:t>counted.</w:t>
      </w:r>
    </w:p>
    <w:p>
      <w:pPr>
        <w:spacing w:line="547" w:lineRule="auto" w:before="15"/>
        <w:ind w:left="153" w:right="5180" w:firstLine="0"/>
        <w:jc w:val="left"/>
        <w:rPr>
          <w:rFonts w:ascii="Arial"/>
          <w:b/>
          <w:sz w:val="16"/>
        </w:rPr>
      </w:pPr>
      <w:r>
        <w:rPr/>
        <w:br w:type="column"/>
      </w:r>
      <w:r>
        <w:rPr>
          <w:rFonts w:ascii="Arial"/>
          <w:b/>
          <w:color w:val="231F20"/>
          <w:w w:val="105"/>
          <w:sz w:val="16"/>
        </w:rPr>
        <w:t>EVENT # CLIENT #</w:t>
      </w:r>
    </w:p>
    <w:p>
      <w:pPr>
        <w:spacing w:after="0" w:line="547" w:lineRule="auto"/>
        <w:jc w:val="left"/>
        <w:rPr>
          <w:rFonts w:ascii="Arial"/>
          <w:sz w:val="16"/>
        </w:rPr>
        <w:sectPr>
          <w:type w:val="continuous"/>
          <w:pgSz w:w="11880" w:h="15480"/>
          <w:pgMar w:top="700" w:bottom="280" w:left="300" w:right="0"/>
          <w:cols w:num="2" w:equalWidth="0">
            <w:col w:w="4420" w:space="540"/>
            <w:col w:w="6620"/>
          </w:cols>
        </w:sectPr>
      </w:pPr>
    </w:p>
    <w:p>
      <w:pPr>
        <w:spacing w:line="235" w:lineRule="auto" w:before="8" w:after="39"/>
        <w:ind w:left="508" w:right="8323" w:firstLine="0"/>
        <w:jc w:val="left"/>
        <w:rPr>
          <w:rFonts w:ascii="Arial"/>
          <w:b/>
          <w:sz w:val="12"/>
        </w:rPr>
      </w:pPr>
      <w:r>
        <w:rPr/>
        <w:pict>
          <v:rect style="position:absolute;margin-left:23.527pt;margin-top:-1.701634pt;width:10.5pt;height:10.5pt;mso-position-horizontal-relative:page;mso-position-vertical-relative:paragraph;z-index:15759872" filled="true" fillcolor="#231f20" stroked="false">
            <v:fill type="solid"/>
            <w10:wrap type="none"/>
          </v:rect>
        </w:pict>
      </w:r>
      <w:r>
        <w:rPr/>
        <w:pict>
          <v:rect style="position:absolute;margin-left:186.651993pt;margin-top:-1.701634pt;width:10.5pt;height:10.5pt;mso-position-horizontal-relative:page;mso-position-vertical-relative:paragraph;z-index:15760384" filled="true" fillcolor="#231f20" stroked="false">
            <v:fill type="solid"/>
            <w10:wrap type="none"/>
          </v:rect>
        </w:pict>
      </w:r>
      <w:r>
        <w:rPr>
          <w:rFonts w:ascii="Arial"/>
          <w:b/>
          <w:color w:val="231F20"/>
          <w:sz w:val="12"/>
        </w:rPr>
        <w:t>Authorized Signatures - This section must be completed for your instructions to be executed.</w:t>
      </w:r>
    </w:p>
    <w:p>
      <w:pPr>
        <w:pStyle w:val="BodyText"/>
        <w:tabs>
          <w:tab w:pos="10736" w:val="left" w:leader="none"/>
        </w:tabs>
        <w:ind w:left="7228"/>
        <w:rPr>
          <w:rFonts w:ascii="Arial"/>
        </w:rPr>
      </w:pPr>
      <w:r>
        <w:rPr>
          <w:rFonts w:ascii="Arial"/>
        </w:rPr>
        <w:pict>
          <v:group style="width:12.6pt;height:13.8pt;mso-position-horizontal-relative:char;mso-position-vertical-relative:line" coordorigin="0,0" coordsize="252,276">
            <v:line style="position:absolute" from="4,267" to="4,0" stroked="true" strokeweight=".375pt" strokecolor="#231f20">
              <v:stroke dashstyle="solid"/>
            </v:line>
            <v:line style="position:absolute" from="0,271" to="251,271" stroked="true" strokeweight=".375pt" strokecolor="#231f20">
              <v:stroke dashstyle="solid"/>
            </v:line>
          </v:group>
        </w:pict>
      </w:r>
      <w:r>
        <w:rPr>
          <w:rFonts w:ascii="Arial"/>
        </w:rPr>
      </w:r>
      <w:r>
        <w:rPr>
          <w:rFonts w:ascii="Arial"/>
        </w:rPr>
        <w:tab/>
      </w:r>
      <w:r>
        <w:rPr>
          <w:rFonts w:ascii="Arial"/>
        </w:rPr>
        <w:pict>
          <v:group style="width:14pt;height:12.6pt;mso-position-horizontal-relative:char;mso-position-vertical-relative:line" coordorigin="0,0" coordsize="280,252">
            <v:line style="position:absolute" from="278,248" to="0,248" stroked="true" strokeweight=".375pt" strokecolor="#231f20">
              <v:stroke dashstyle="solid"/>
            </v:line>
            <v:line style="position:absolute" from="276,251" to="276,0" stroked="true" strokeweight=".375pt" strokecolor="#231f20">
              <v:stroke dashstyle="solid"/>
            </v:line>
          </v:group>
        </w:pict>
      </w:r>
      <w:r>
        <w:rPr>
          <w:rFonts w:ascii="Arial"/>
        </w:rPr>
      </w:r>
    </w:p>
    <w:p>
      <w:pPr>
        <w:tabs>
          <w:tab w:pos="3015" w:val="left" w:leader="none"/>
        </w:tabs>
        <w:spacing w:line="20" w:lineRule="exact"/>
        <w:ind w:left="607" w:right="0" w:firstLine="0"/>
        <w:rPr>
          <w:rFonts w:ascii="Arial"/>
          <w:sz w:val="2"/>
        </w:rPr>
      </w:pPr>
      <w:r>
        <w:rPr>
          <w:rFonts w:ascii="Arial"/>
          <w:sz w:val="2"/>
        </w:rPr>
        <w:pict>
          <v:group style="width:83.25pt;height:.25pt;mso-position-horizontal-relative:char;mso-position-vertical-relative:line" coordorigin="0,0" coordsize="1665,5">
            <v:line style="position:absolute" from="0,2" to="1665,2" stroked="true" strokeweight=".225pt" strokecolor="#221e1f">
              <v:stroke dashstyle="solid"/>
            </v:line>
          </v:group>
        </w:pict>
      </w:r>
      <w:r>
        <w:rPr>
          <w:rFonts w:ascii="Arial"/>
          <w:sz w:val="2"/>
        </w:rPr>
      </w:r>
      <w:r>
        <w:rPr>
          <w:rFonts w:ascii="Arial"/>
          <w:sz w:val="2"/>
        </w:rPr>
        <w:tab/>
      </w:r>
      <w:r>
        <w:rPr>
          <w:rFonts w:ascii="Arial"/>
          <w:sz w:val="2"/>
        </w:rPr>
        <w:pict>
          <v:group style="width:58.5pt;height:.25pt;mso-position-horizontal-relative:char;mso-position-vertical-relative:line" coordorigin="0,0" coordsize="1170,5">
            <v:line style="position:absolute" from="0,2" to="1170,2" stroked="true" strokeweight=".225pt" strokecolor="#221e1f">
              <v:stroke dashstyle="solid"/>
            </v:line>
          </v:group>
        </w:pict>
      </w:r>
      <w:r>
        <w:rPr>
          <w:rFonts w:ascii="Arial"/>
          <w:sz w:val="2"/>
        </w:rPr>
      </w:r>
    </w:p>
    <w:p>
      <w:pPr>
        <w:spacing w:after="0" w:line="20" w:lineRule="exact"/>
        <w:rPr>
          <w:rFonts w:ascii="Arial"/>
          <w:sz w:val="2"/>
        </w:rPr>
        <w:sectPr>
          <w:type w:val="continuous"/>
          <w:pgSz w:w="11880" w:h="15480"/>
          <w:pgMar w:top="700" w:bottom="280" w:left="300" w:right="0"/>
        </w:sectPr>
      </w:pPr>
    </w:p>
    <w:p>
      <w:pPr>
        <w:tabs>
          <w:tab w:pos="3218" w:val="left" w:leader="none"/>
        </w:tabs>
        <w:spacing w:line="73" w:lineRule="exact" w:before="0"/>
        <w:ind w:left="1095" w:right="0" w:firstLine="0"/>
        <w:jc w:val="left"/>
        <w:rPr>
          <w:rFonts w:ascii="Arial"/>
          <w:sz w:val="9"/>
        </w:rPr>
      </w:pPr>
      <w:r>
        <w:rPr/>
        <w:pict>
          <v:line style="position:absolute;mso-position-horizontal-relative:page;mso-position-vertical-relative:paragraph;z-index:15760896" from="165.904007pt,14.417747pt" to="224.40401pt,14.417747pt" stroked="true" strokeweight=".225pt" strokecolor="#221e1f">
            <v:stroke dashstyle="solid"/>
            <w10:wrap type="none"/>
          </v:line>
        </w:pict>
      </w:r>
      <w:r>
        <w:rPr>
          <w:rFonts w:ascii="Arial"/>
          <w:color w:val="231F20"/>
          <w:sz w:val="9"/>
        </w:rPr>
        <w:t>Please</w:t>
      </w:r>
      <w:r>
        <w:rPr>
          <w:rFonts w:ascii="Arial"/>
          <w:color w:val="231F20"/>
          <w:spacing w:val="-1"/>
          <w:sz w:val="9"/>
        </w:rPr>
        <w:t> </w:t>
      </w:r>
      <w:r>
        <w:rPr>
          <w:rFonts w:ascii="Arial"/>
          <w:color w:val="231F20"/>
          <w:sz w:val="9"/>
        </w:rPr>
        <w:t>Sign</w:t>
      </w:r>
      <w:r>
        <w:rPr>
          <w:rFonts w:ascii="Arial"/>
          <w:color w:val="231F20"/>
          <w:spacing w:val="-1"/>
          <w:sz w:val="9"/>
        </w:rPr>
        <w:t> </w:t>
      </w:r>
      <w:r>
        <w:rPr>
          <w:rFonts w:ascii="Arial"/>
          <w:color w:val="231F20"/>
          <w:sz w:val="9"/>
        </w:rPr>
        <w:t>Here</w:t>
        <w:tab/>
        <w:t>Please Date</w:t>
      </w:r>
      <w:r>
        <w:rPr>
          <w:rFonts w:ascii="Arial"/>
          <w:color w:val="231F20"/>
          <w:spacing w:val="-1"/>
          <w:sz w:val="9"/>
        </w:rPr>
        <w:t> </w:t>
      </w:r>
      <w:r>
        <w:rPr>
          <w:rFonts w:ascii="Arial"/>
          <w:color w:val="231F20"/>
          <w:spacing w:val="-4"/>
          <w:sz w:val="9"/>
        </w:rPr>
        <w:t>Above</w:t>
      </w:r>
    </w:p>
    <w:p>
      <w:pPr>
        <w:pStyle w:val="BodyText"/>
        <w:rPr>
          <w:rFonts w:ascii="Arial"/>
          <w:sz w:val="15"/>
        </w:rPr>
      </w:pPr>
      <w:r>
        <w:rPr/>
        <w:pict>
          <v:shape style="position:absolute;margin-left:45.528999pt;margin-top:10.746387pt;width:83.25pt;height:.1pt;mso-position-horizontal-relative:page;mso-position-vertical-relative:paragraph;z-index:-15697920;mso-wrap-distance-left:0;mso-wrap-distance-right:0" coordorigin="911,215" coordsize="1665,0" path="m911,215l2576,215e" filled="false" stroked="true" strokeweight=".225pt" strokecolor="#221e1f">
            <v:path arrowok="t"/>
            <v:stroke dashstyle="solid"/>
            <w10:wrap type="topAndBottom"/>
          </v:shape>
        </w:pict>
      </w:r>
    </w:p>
    <w:p>
      <w:pPr>
        <w:tabs>
          <w:tab w:pos="3218" w:val="left" w:leader="none"/>
        </w:tabs>
        <w:spacing w:before="0"/>
        <w:ind w:left="1095" w:right="0" w:firstLine="0"/>
        <w:jc w:val="left"/>
        <w:rPr>
          <w:rFonts w:ascii="Arial"/>
          <w:sz w:val="9"/>
        </w:rPr>
      </w:pPr>
      <w:r>
        <w:rPr>
          <w:rFonts w:ascii="Arial"/>
          <w:color w:val="231F20"/>
          <w:sz w:val="9"/>
        </w:rPr>
        <w:t>Please</w:t>
      </w:r>
      <w:r>
        <w:rPr>
          <w:rFonts w:ascii="Arial"/>
          <w:color w:val="231F20"/>
          <w:spacing w:val="-1"/>
          <w:sz w:val="9"/>
        </w:rPr>
        <w:t> </w:t>
      </w:r>
      <w:r>
        <w:rPr>
          <w:rFonts w:ascii="Arial"/>
          <w:color w:val="231F20"/>
          <w:sz w:val="9"/>
        </w:rPr>
        <w:t>Sign</w:t>
      </w:r>
      <w:r>
        <w:rPr>
          <w:rFonts w:ascii="Arial"/>
          <w:color w:val="231F20"/>
          <w:spacing w:val="-1"/>
          <w:sz w:val="9"/>
        </w:rPr>
        <w:t> </w:t>
      </w:r>
      <w:r>
        <w:rPr>
          <w:rFonts w:ascii="Arial"/>
          <w:color w:val="231F20"/>
          <w:sz w:val="9"/>
        </w:rPr>
        <w:t>Here</w:t>
        <w:tab/>
        <w:t>Please Date</w:t>
      </w:r>
      <w:r>
        <w:rPr>
          <w:rFonts w:ascii="Arial"/>
          <w:color w:val="231F20"/>
          <w:spacing w:val="-1"/>
          <w:sz w:val="9"/>
        </w:rPr>
        <w:t> </w:t>
      </w:r>
      <w:r>
        <w:rPr>
          <w:rFonts w:ascii="Arial"/>
          <w:color w:val="231F20"/>
          <w:spacing w:val="-4"/>
          <w:sz w:val="9"/>
        </w:rPr>
        <w:t>Above</w:t>
      </w:r>
    </w:p>
    <w:p>
      <w:pPr>
        <w:pStyle w:val="BodyText"/>
        <w:rPr>
          <w:rFonts w:ascii="Arial"/>
          <w:sz w:val="10"/>
        </w:rPr>
      </w:pPr>
      <w:r>
        <w:rPr/>
        <w:br w:type="column"/>
      </w:r>
      <w:r>
        <w:rPr>
          <w:rFonts w:ascii="Arial"/>
          <w:sz w:val="10"/>
        </w:rPr>
      </w:r>
    </w:p>
    <w:p>
      <w:pPr>
        <w:pStyle w:val="BodyText"/>
        <w:spacing w:before="7"/>
        <w:rPr>
          <w:rFonts w:ascii="Arial"/>
          <w:sz w:val="11"/>
        </w:rPr>
      </w:pPr>
    </w:p>
    <w:p>
      <w:pPr>
        <w:spacing w:before="0"/>
        <w:ind w:left="860" w:right="0" w:firstLine="0"/>
        <w:jc w:val="left"/>
        <w:rPr>
          <w:rFonts w:ascii="Arial" w:hAnsi="Arial"/>
          <w:sz w:val="9"/>
        </w:rPr>
      </w:pPr>
      <w:r>
        <w:rPr>
          <w:rFonts w:ascii="Arial" w:hAnsi="Arial"/>
          <w:color w:val="231F20"/>
          <w:sz w:val="9"/>
        </w:rPr>
        <w:t>Copyright © 2023 Mediant Communications Inc. All Rights Reserved</w:t>
      </w:r>
    </w:p>
    <w:p>
      <w:pPr>
        <w:spacing w:after="0"/>
        <w:jc w:val="left"/>
        <w:rPr>
          <w:rFonts w:ascii="Arial" w:hAnsi="Arial"/>
          <w:sz w:val="9"/>
        </w:rPr>
        <w:sectPr>
          <w:type w:val="continuous"/>
          <w:pgSz w:w="11880" w:h="15480"/>
          <w:pgMar w:top="700" w:bottom="280" w:left="300" w:right="0"/>
          <w:cols w:num="2" w:equalWidth="0">
            <w:col w:w="3988" w:space="40"/>
            <w:col w:w="7552"/>
          </w:cols>
        </w:sectPr>
      </w:pPr>
    </w:p>
    <w:p>
      <w:pPr>
        <w:pStyle w:val="BodyText"/>
        <w:rPr>
          <w:rFonts w:ascii="Arial"/>
        </w:rPr>
      </w:pPr>
    </w:p>
    <w:p>
      <w:pPr>
        <w:pStyle w:val="BodyText"/>
        <w:rPr>
          <w:rFonts w:ascii="Arial"/>
          <w:sz w:val="2"/>
        </w:rPr>
      </w:pPr>
    </w:p>
    <w:p>
      <w:pPr>
        <w:pStyle w:val="BodyText"/>
        <w:rPr>
          <w:rFonts w:ascii="Arial"/>
          <w:sz w:val="2"/>
        </w:rPr>
      </w:pPr>
    </w:p>
    <w:p>
      <w:pPr>
        <w:pStyle w:val="BodyText"/>
        <w:rPr>
          <w:rFonts w:ascii="Arial"/>
          <w:sz w:val="2"/>
        </w:rPr>
      </w:pPr>
    </w:p>
    <w:p>
      <w:pPr>
        <w:pStyle w:val="BodyText"/>
        <w:rPr>
          <w:rFonts w:ascii="Arial"/>
          <w:sz w:val="2"/>
        </w:rPr>
      </w:pPr>
    </w:p>
    <w:p>
      <w:pPr>
        <w:pStyle w:val="BodyText"/>
        <w:rPr>
          <w:rFonts w:ascii="Arial"/>
          <w:sz w:val="2"/>
        </w:rPr>
      </w:pPr>
    </w:p>
    <w:p>
      <w:pPr>
        <w:pStyle w:val="BodyText"/>
        <w:rPr>
          <w:rFonts w:ascii="Arial"/>
          <w:sz w:val="2"/>
        </w:rPr>
      </w:pPr>
    </w:p>
    <w:p>
      <w:pPr>
        <w:pStyle w:val="BodyText"/>
        <w:rPr>
          <w:rFonts w:ascii="Arial"/>
          <w:sz w:val="2"/>
        </w:rPr>
      </w:pPr>
    </w:p>
    <w:p>
      <w:pPr>
        <w:pStyle w:val="BodyText"/>
        <w:rPr>
          <w:rFonts w:ascii="Arial"/>
          <w:sz w:val="2"/>
        </w:rPr>
      </w:pPr>
    </w:p>
    <w:p>
      <w:pPr>
        <w:pStyle w:val="BodyText"/>
        <w:rPr>
          <w:rFonts w:ascii="Arial"/>
          <w:sz w:val="2"/>
        </w:rPr>
      </w:pPr>
    </w:p>
    <w:p>
      <w:pPr>
        <w:pStyle w:val="BodyText"/>
        <w:rPr>
          <w:rFonts w:ascii="Arial"/>
          <w:sz w:val="2"/>
        </w:rPr>
      </w:pPr>
    </w:p>
    <w:p>
      <w:pPr>
        <w:pStyle w:val="BodyText"/>
        <w:rPr>
          <w:rFonts w:ascii="Arial"/>
          <w:sz w:val="2"/>
        </w:rPr>
      </w:pPr>
    </w:p>
    <w:p>
      <w:pPr>
        <w:pStyle w:val="BodyText"/>
        <w:spacing w:before="2"/>
        <w:rPr>
          <w:rFonts w:ascii="Arial"/>
          <w:sz w:val="2"/>
        </w:rPr>
      </w:pPr>
    </w:p>
    <w:p>
      <w:pPr>
        <w:spacing w:before="1"/>
        <w:ind w:left="0" w:right="-15" w:firstLine="0"/>
        <w:jc w:val="right"/>
        <w:rPr>
          <w:sz w:val="2"/>
        </w:rPr>
      </w:pPr>
      <w:r>
        <w:rPr>
          <w:color w:val="FFFFFF"/>
          <w:w w:val="98"/>
          <w:sz w:val="2"/>
        </w:rPr>
        <w:t>e</w:t>
      </w:r>
    </w:p>
    <w:p>
      <w:pPr>
        <w:spacing w:after="0"/>
        <w:jc w:val="right"/>
        <w:rPr>
          <w:sz w:val="2"/>
        </w:rPr>
        <w:sectPr>
          <w:type w:val="continuous"/>
          <w:pgSz w:w="11880" w:h="15480"/>
          <w:pgMar w:top="700" w:bottom="280" w:left="300" w:right="0"/>
        </w:sectPr>
      </w:pPr>
    </w:p>
    <w:p>
      <w:pPr>
        <w:spacing w:before="92"/>
        <w:ind w:left="659" w:right="6060" w:firstLine="0"/>
        <w:jc w:val="center"/>
        <w:rPr>
          <w:rFonts w:ascii="Arial"/>
          <w:b/>
          <w:sz w:val="21"/>
        </w:rPr>
      </w:pPr>
      <w:r>
        <w:rPr>
          <w:rFonts w:ascii="Arial"/>
          <w:b/>
          <w:color w:val="231F20"/>
          <w:sz w:val="21"/>
        </w:rPr>
        <w:t>SHL Telemedicine Ltd.</w:t>
      </w:r>
    </w:p>
    <w:p>
      <w:pPr>
        <w:spacing w:line="235" w:lineRule="auto" w:before="19"/>
        <w:ind w:left="659" w:right="6060" w:firstLine="0"/>
        <w:jc w:val="center"/>
        <w:rPr>
          <w:rFonts w:ascii="Arial"/>
          <w:b/>
          <w:sz w:val="16"/>
        </w:rPr>
      </w:pPr>
      <w:r>
        <w:rPr>
          <w:rFonts w:ascii="Arial"/>
          <w:b/>
          <w:color w:val="231F20"/>
          <w:w w:val="105"/>
          <w:sz w:val="16"/>
        </w:rPr>
        <w:t>Instructions to The Bank of New </w:t>
      </w:r>
      <w:r>
        <w:rPr>
          <w:rFonts w:ascii="Arial"/>
          <w:b/>
          <w:color w:val="231F20"/>
          <w:spacing w:val="-5"/>
          <w:w w:val="105"/>
          <w:sz w:val="16"/>
        </w:rPr>
        <w:t>York </w:t>
      </w:r>
      <w:r>
        <w:rPr>
          <w:rFonts w:ascii="Arial"/>
          <w:b/>
          <w:color w:val="231F20"/>
          <w:w w:val="105"/>
          <w:sz w:val="16"/>
        </w:rPr>
        <w:t>Mellon, as Depositary (Must</w:t>
      </w:r>
      <w:r>
        <w:rPr>
          <w:rFonts w:ascii="Arial"/>
          <w:b/>
          <w:color w:val="231F20"/>
          <w:spacing w:val="-14"/>
          <w:w w:val="105"/>
          <w:sz w:val="16"/>
        </w:rPr>
        <w:t> </w:t>
      </w:r>
      <w:r>
        <w:rPr>
          <w:rFonts w:ascii="Arial"/>
          <w:b/>
          <w:color w:val="231F20"/>
          <w:w w:val="105"/>
          <w:sz w:val="16"/>
        </w:rPr>
        <w:t>be</w:t>
      </w:r>
      <w:r>
        <w:rPr>
          <w:rFonts w:ascii="Arial"/>
          <w:b/>
          <w:color w:val="231F20"/>
          <w:spacing w:val="-14"/>
          <w:w w:val="105"/>
          <w:sz w:val="16"/>
        </w:rPr>
        <w:t> </w:t>
      </w:r>
      <w:r>
        <w:rPr>
          <w:rFonts w:ascii="Arial"/>
          <w:b/>
          <w:color w:val="231F20"/>
          <w:w w:val="105"/>
          <w:sz w:val="16"/>
        </w:rPr>
        <w:t>received</w:t>
      </w:r>
      <w:r>
        <w:rPr>
          <w:rFonts w:ascii="Arial"/>
          <w:b/>
          <w:color w:val="231F20"/>
          <w:spacing w:val="-14"/>
          <w:w w:val="105"/>
          <w:sz w:val="16"/>
        </w:rPr>
        <w:t> </w:t>
      </w:r>
      <w:r>
        <w:rPr>
          <w:rFonts w:ascii="Arial"/>
          <w:b/>
          <w:color w:val="231F20"/>
          <w:w w:val="105"/>
          <w:sz w:val="16"/>
        </w:rPr>
        <w:t>prior</w:t>
      </w:r>
      <w:r>
        <w:rPr>
          <w:rFonts w:ascii="Arial"/>
          <w:b/>
          <w:color w:val="231F20"/>
          <w:spacing w:val="-14"/>
          <w:w w:val="105"/>
          <w:sz w:val="16"/>
        </w:rPr>
        <w:t> </w:t>
      </w:r>
      <w:r>
        <w:rPr>
          <w:rFonts w:ascii="Arial"/>
          <w:b/>
          <w:color w:val="231F20"/>
          <w:w w:val="105"/>
          <w:sz w:val="16"/>
        </w:rPr>
        <w:t>to</w:t>
      </w:r>
      <w:r>
        <w:rPr>
          <w:rFonts w:ascii="Arial"/>
          <w:b/>
          <w:color w:val="231F20"/>
          <w:spacing w:val="-14"/>
          <w:w w:val="105"/>
          <w:sz w:val="16"/>
        </w:rPr>
        <w:t> </w:t>
      </w:r>
      <w:r>
        <w:rPr>
          <w:rFonts w:ascii="Arial"/>
          <w:b/>
          <w:color w:val="231F20"/>
          <w:w w:val="105"/>
          <w:sz w:val="16"/>
        </w:rPr>
        <w:t>12:00</w:t>
      </w:r>
      <w:r>
        <w:rPr>
          <w:rFonts w:ascii="Arial"/>
          <w:b/>
          <w:color w:val="231F20"/>
          <w:spacing w:val="-14"/>
          <w:w w:val="105"/>
          <w:sz w:val="16"/>
        </w:rPr>
        <w:t> </w:t>
      </w:r>
      <w:r>
        <w:rPr>
          <w:rFonts w:ascii="Arial"/>
          <w:b/>
          <w:color w:val="231F20"/>
          <w:w w:val="105"/>
          <w:sz w:val="16"/>
        </w:rPr>
        <w:t>p.m.</w:t>
      </w:r>
      <w:r>
        <w:rPr>
          <w:rFonts w:ascii="Arial"/>
          <w:b/>
          <w:color w:val="231F20"/>
          <w:spacing w:val="-14"/>
          <w:w w:val="105"/>
          <w:sz w:val="16"/>
        </w:rPr>
        <w:t> </w:t>
      </w:r>
      <w:r>
        <w:rPr>
          <w:rFonts w:ascii="Arial"/>
          <w:b/>
          <w:color w:val="231F20"/>
          <w:w w:val="105"/>
          <w:sz w:val="16"/>
        </w:rPr>
        <w:t>EST</w:t>
      </w:r>
      <w:r>
        <w:rPr>
          <w:rFonts w:ascii="Arial"/>
          <w:b/>
          <w:color w:val="231F20"/>
          <w:spacing w:val="-14"/>
          <w:w w:val="105"/>
          <w:sz w:val="16"/>
        </w:rPr>
        <w:t> </w:t>
      </w:r>
      <w:r>
        <w:rPr>
          <w:rFonts w:ascii="Arial"/>
          <w:b/>
          <w:color w:val="231F20"/>
          <w:w w:val="105"/>
          <w:sz w:val="16"/>
        </w:rPr>
        <w:t>on</w:t>
      </w:r>
      <w:r>
        <w:rPr>
          <w:rFonts w:ascii="Arial"/>
          <w:b/>
          <w:color w:val="231F20"/>
          <w:spacing w:val="-14"/>
          <w:w w:val="105"/>
          <w:sz w:val="16"/>
        </w:rPr>
        <w:t> </w:t>
      </w:r>
      <w:r>
        <w:rPr>
          <w:rFonts w:ascii="Arial"/>
          <w:b/>
          <w:color w:val="231F20"/>
          <w:w w:val="105"/>
          <w:sz w:val="16"/>
        </w:rPr>
        <w:t>February</w:t>
      </w:r>
      <w:r>
        <w:rPr>
          <w:rFonts w:ascii="Arial"/>
          <w:b/>
          <w:color w:val="231F20"/>
          <w:spacing w:val="-14"/>
          <w:w w:val="105"/>
          <w:sz w:val="16"/>
        </w:rPr>
        <w:t> </w:t>
      </w:r>
      <w:r>
        <w:rPr>
          <w:rFonts w:ascii="Arial"/>
          <w:b/>
          <w:color w:val="231F20"/>
          <w:w w:val="105"/>
          <w:sz w:val="16"/>
        </w:rPr>
        <w:t>2,</w:t>
      </w:r>
      <w:r>
        <w:rPr>
          <w:rFonts w:ascii="Arial"/>
          <w:b/>
          <w:color w:val="231F20"/>
          <w:spacing w:val="-14"/>
          <w:w w:val="105"/>
          <w:sz w:val="16"/>
        </w:rPr>
        <w:t> </w:t>
      </w:r>
      <w:r>
        <w:rPr>
          <w:rFonts w:ascii="Arial"/>
          <w:b/>
          <w:color w:val="231F20"/>
          <w:w w:val="105"/>
          <w:sz w:val="16"/>
        </w:rPr>
        <w:t>2024)</w:t>
      </w:r>
    </w:p>
    <w:p>
      <w:pPr>
        <w:spacing w:line="264" w:lineRule="auto" w:before="99"/>
        <w:ind w:left="118" w:right="5519" w:firstLine="540"/>
        <w:jc w:val="both"/>
        <w:rPr>
          <w:rFonts w:ascii="Arial" w:hAnsi="Arial"/>
          <w:sz w:val="13"/>
        </w:rPr>
      </w:pPr>
      <w:r>
        <w:rPr>
          <w:rFonts w:ascii="Arial" w:hAnsi="Arial"/>
          <w:color w:val="231F20"/>
          <w:w w:val="105"/>
          <w:sz w:val="13"/>
        </w:rPr>
        <w:t>The</w:t>
      </w:r>
      <w:r>
        <w:rPr>
          <w:rFonts w:ascii="Arial" w:hAnsi="Arial"/>
          <w:color w:val="231F20"/>
          <w:spacing w:val="-10"/>
          <w:w w:val="105"/>
          <w:sz w:val="13"/>
        </w:rPr>
        <w:t> </w:t>
      </w:r>
      <w:r>
        <w:rPr>
          <w:rFonts w:ascii="Arial" w:hAnsi="Arial"/>
          <w:color w:val="231F20"/>
          <w:w w:val="105"/>
          <w:sz w:val="13"/>
        </w:rPr>
        <w:t>undersigned</w:t>
      </w:r>
      <w:r>
        <w:rPr>
          <w:rFonts w:ascii="Arial" w:hAnsi="Arial"/>
          <w:color w:val="231F20"/>
          <w:spacing w:val="-9"/>
          <w:w w:val="105"/>
          <w:sz w:val="13"/>
        </w:rPr>
        <w:t> </w:t>
      </w:r>
      <w:r>
        <w:rPr>
          <w:rFonts w:ascii="Arial" w:hAnsi="Arial"/>
          <w:color w:val="231F20"/>
          <w:w w:val="105"/>
          <w:sz w:val="13"/>
        </w:rPr>
        <w:t>Holder</w:t>
      </w:r>
      <w:r>
        <w:rPr>
          <w:rFonts w:ascii="Arial" w:hAnsi="Arial"/>
          <w:color w:val="231F20"/>
          <w:spacing w:val="-10"/>
          <w:w w:val="105"/>
          <w:sz w:val="13"/>
        </w:rPr>
        <w:t> </w:t>
      </w:r>
      <w:r>
        <w:rPr>
          <w:rFonts w:ascii="Arial" w:hAnsi="Arial"/>
          <w:color w:val="231F20"/>
          <w:w w:val="105"/>
          <w:sz w:val="13"/>
        </w:rPr>
        <w:t>of</w:t>
      </w:r>
      <w:r>
        <w:rPr>
          <w:rFonts w:ascii="Arial" w:hAnsi="Arial"/>
          <w:color w:val="231F20"/>
          <w:spacing w:val="-9"/>
          <w:w w:val="105"/>
          <w:sz w:val="13"/>
        </w:rPr>
        <w:t> </w:t>
      </w:r>
      <w:r>
        <w:rPr>
          <w:rFonts w:ascii="Arial" w:hAnsi="Arial"/>
          <w:color w:val="231F20"/>
          <w:w w:val="105"/>
          <w:sz w:val="13"/>
        </w:rPr>
        <w:t>American</w:t>
      </w:r>
      <w:r>
        <w:rPr>
          <w:rFonts w:ascii="Arial" w:hAnsi="Arial"/>
          <w:color w:val="231F20"/>
          <w:spacing w:val="-10"/>
          <w:w w:val="105"/>
          <w:sz w:val="13"/>
        </w:rPr>
        <w:t> </w:t>
      </w:r>
      <w:r>
        <w:rPr>
          <w:rFonts w:ascii="Arial" w:hAnsi="Arial"/>
          <w:color w:val="231F20"/>
          <w:w w:val="105"/>
          <w:sz w:val="13"/>
        </w:rPr>
        <w:t>Depositary</w:t>
      </w:r>
      <w:r>
        <w:rPr>
          <w:rFonts w:ascii="Arial" w:hAnsi="Arial"/>
          <w:color w:val="231F20"/>
          <w:spacing w:val="-9"/>
          <w:w w:val="105"/>
          <w:sz w:val="13"/>
        </w:rPr>
        <w:t> </w:t>
      </w:r>
      <w:r>
        <w:rPr>
          <w:rFonts w:ascii="Arial" w:hAnsi="Arial"/>
          <w:color w:val="231F20"/>
          <w:w w:val="105"/>
          <w:sz w:val="13"/>
        </w:rPr>
        <w:t>Receipts</w:t>
      </w:r>
      <w:r>
        <w:rPr>
          <w:rFonts w:ascii="Arial" w:hAnsi="Arial"/>
          <w:color w:val="231F20"/>
          <w:spacing w:val="-10"/>
          <w:w w:val="105"/>
          <w:sz w:val="13"/>
        </w:rPr>
        <w:t> </w:t>
      </w:r>
      <w:r>
        <w:rPr>
          <w:rFonts w:ascii="Arial" w:hAnsi="Arial"/>
          <w:color w:val="231F20"/>
          <w:w w:val="105"/>
          <w:sz w:val="13"/>
        </w:rPr>
        <w:t>(“ADRs”</w:t>
      </w:r>
      <w:r>
        <w:rPr>
          <w:rFonts w:ascii="Arial" w:hAnsi="Arial"/>
          <w:color w:val="231F20"/>
          <w:spacing w:val="-9"/>
          <w:w w:val="105"/>
          <w:sz w:val="13"/>
        </w:rPr>
        <w:t> </w:t>
      </w:r>
      <w:r>
        <w:rPr>
          <w:rFonts w:ascii="Arial" w:hAnsi="Arial"/>
          <w:color w:val="231F20"/>
          <w:w w:val="105"/>
          <w:sz w:val="13"/>
        </w:rPr>
        <w:t>)</w:t>
      </w:r>
      <w:r>
        <w:rPr>
          <w:rFonts w:ascii="Arial" w:hAnsi="Arial"/>
          <w:color w:val="231F20"/>
          <w:spacing w:val="-10"/>
          <w:w w:val="105"/>
          <w:sz w:val="13"/>
        </w:rPr>
        <w:t> </w:t>
      </w:r>
      <w:r>
        <w:rPr>
          <w:rFonts w:ascii="Arial" w:hAnsi="Arial"/>
          <w:color w:val="231F20"/>
          <w:w w:val="105"/>
          <w:sz w:val="13"/>
        </w:rPr>
        <w:t>hereby</w:t>
      </w:r>
      <w:r>
        <w:rPr>
          <w:rFonts w:ascii="Arial" w:hAnsi="Arial"/>
          <w:color w:val="231F20"/>
          <w:spacing w:val="-9"/>
          <w:w w:val="105"/>
          <w:sz w:val="13"/>
        </w:rPr>
        <w:t> </w:t>
      </w:r>
      <w:r>
        <w:rPr>
          <w:rFonts w:ascii="Arial" w:hAnsi="Arial"/>
          <w:color w:val="231F20"/>
          <w:w w:val="105"/>
          <w:sz w:val="13"/>
        </w:rPr>
        <w:t>acknowledges receipt of a Notice to Holders from the Depositary and hereby requests and instructs The Bank    of New York Mellon, as Depositary, to endeavor, in so far as practicable, to vote or cause to be voted the number of ordinary shares or other deposited securities represented by such ADRs      of </w:t>
      </w:r>
      <w:r>
        <w:rPr>
          <w:rFonts w:ascii="Arial" w:hAnsi="Arial"/>
          <w:b/>
          <w:color w:val="231F20"/>
          <w:w w:val="105"/>
          <w:sz w:val="13"/>
        </w:rPr>
        <w:t>SHL Telemedicine Ltd. </w:t>
      </w:r>
      <w:r>
        <w:rPr>
          <w:rFonts w:ascii="Arial" w:hAnsi="Arial"/>
          <w:color w:val="231F20"/>
          <w:w w:val="105"/>
          <w:sz w:val="13"/>
        </w:rPr>
        <w:t>(the “Company”) registered in the name of the undersigned on the books of the Depositary as of the close of business </w:t>
      </w:r>
      <w:r>
        <w:rPr>
          <w:rFonts w:ascii="Arial" w:hAnsi="Arial"/>
          <w:b/>
          <w:color w:val="231F20"/>
          <w:w w:val="105"/>
          <w:sz w:val="13"/>
        </w:rPr>
        <w:t>January 4, 2024</w:t>
      </w:r>
      <w:r>
        <w:rPr>
          <w:rFonts w:ascii="Arial" w:hAnsi="Arial"/>
          <w:color w:val="231F20"/>
          <w:w w:val="105"/>
          <w:sz w:val="13"/>
        </w:rPr>
        <w:t>, at the Company’s </w:t>
      </w:r>
      <w:r>
        <w:rPr>
          <w:rFonts w:ascii="Arial" w:hAnsi="Arial"/>
          <w:b/>
          <w:color w:val="231F20"/>
          <w:w w:val="105"/>
          <w:sz w:val="13"/>
        </w:rPr>
        <w:t>Annual General Shareholders Meeting to be held on February 8, 2024, at 5:00 p.m. Israel time </w:t>
      </w:r>
      <w:r>
        <w:rPr>
          <w:rFonts w:ascii="Arial" w:hAnsi="Arial"/>
          <w:color w:val="231F20"/>
          <w:w w:val="105"/>
          <w:sz w:val="13"/>
        </w:rPr>
        <w:t>at the Company’s offices at Ashdar Building – 2nd Floor, 90 Yigal Alon Street, Tel Aviv,</w:t>
      </w:r>
      <w:r>
        <w:rPr>
          <w:rFonts w:ascii="Arial" w:hAnsi="Arial"/>
          <w:color w:val="231F20"/>
          <w:spacing w:val="-27"/>
          <w:w w:val="105"/>
          <w:sz w:val="13"/>
        </w:rPr>
        <w:t> </w:t>
      </w:r>
      <w:r>
        <w:rPr>
          <w:rFonts w:ascii="Arial" w:hAnsi="Arial"/>
          <w:color w:val="231F20"/>
          <w:w w:val="105"/>
          <w:sz w:val="13"/>
        </w:rPr>
        <w:t>Israel.</w:t>
      </w:r>
    </w:p>
    <w:p>
      <w:pPr>
        <w:spacing w:before="52"/>
        <w:ind w:left="118" w:right="0" w:firstLine="0"/>
        <w:jc w:val="left"/>
        <w:rPr>
          <w:rFonts w:ascii="Arial"/>
          <w:b/>
          <w:sz w:val="12"/>
        </w:rPr>
      </w:pPr>
      <w:r>
        <w:rPr>
          <w:rFonts w:ascii="Arial"/>
          <w:b/>
          <w:color w:val="231F20"/>
          <w:sz w:val="12"/>
        </w:rPr>
        <w:t>NOTE:</w:t>
      </w:r>
    </w:p>
    <w:p>
      <w:pPr>
        <w:spacing w:line="249" w:lineRule="auto" w:before="46"/>
        <w:ind w:left="118" w:right="5519" w:firstLine="0"/>
        <w:jc w:val="both"/>
        <w:rPr>
          <w:rFonts w:ascii="Arial"/>
          <w:b/>
          <w:sz w:val="10"/>
        </w:rPr>
      </w:pPr>
      <w:r>
        <w:rPr>
          <w:rFonts w:ascii="Arial"/>
          <w:b/>
          <w:color w:val="231F20"/>
          <w:w w:val="105"/>
          <w:sz w:val="10"/>
        </w:rPr>
        <w:t>Please direct the Depositary how to vote by completing the reverse side. This voting Instruction Card, when properly executed and returned, will be a request to the Depositary to vote or cause to be voted the shares or other Deposited Securities represented by your ADRs as directed herein.</w:t>
      </w:r>
    </w:p>
    <w:p>
      <w:pPr>
        <w:spacing w:line="249" w:lineRule="auto" w:before="46"/>
        <w:ind w:left="118" w:right="5519" w:firstLine="0"/>
        <w:jc w:val="both"/>
        <w:rPr>
          <w:rFonts w:ascii="Arial"/>
          <w:b/>
          <w:sz w:val="10"/>
        </w:rPr>
      </w:pPr>
      <w:r>
        <w:rPr/>
        <w:pict>
          <v:shape style="position:absolute;margin-left:513.107971pt;margin-top:28.441864pt;width:32.4500pt;height:62.6pt;mso-position-horizontal-relative:page;mso-position-vertical-relative:paragraph;z-index:15763456" type="#_x0000_t202" filled="false" stroked="false">
            <v:textbox inset="0,0,0,0" style="layout-flow:vertical;mso-layout-flow-alt:bottom-to-top">
              <w:txbxContent>
                <w:p>
                  <w:pPr>
                    <w:spacing w:before="28"/>
                    <w:ind w:left="20" w:right="0" w:firstLine="0"/>
                    <w:jc w:val="left"/>
                    <w:rPr>
                      <w:rFonts w:ascii="Arial"/>
                      <w:sz w:val="10"/>
                    </w:rPr>
                  </w:pPr>
                  <w:r>
                    <w:rPr>
                      <w:rFonts w:ascii="Arial"/>
                      <w:color w:val="231F20"/>
                      <w:sz w:val="10"/>
                    </w:rPr>
                    <w:t>PROXY TABULATOR FOR</w:t>
                  </w:r>
                </w:p>
                <w:p>
                  <w:pPr>
                    <w:spacing w:before="65"/>
                    <w:ind w:left="20" w:right="0" w:firstLine="0"/>
                    <w:jc w:val="left"/>
                    <w:rPr>
                      <w:rFonts w:ascii="Arial"/>
                      <w:sz w:val="10"/>
                    </w:rPr>
                  </w:pPr>
                  <w:r>
                    <w:rPr>
                      <w:rFonts w:ascii="Arial"/>
                      <w:color w:val="231F20"/>
                      <w:w w:val="105"/>
                      <w:sz w:val="10"/>
                    </w:rPr>
                    <w:t>SHL Telemedicine Ltd.</w:t>
                  </w:r>
                </w:p>
                <w:p>
                  <w:pPr>
                    <w:spacing w:before="35"/>
                    <w:ind w:left="20" w:right="0" w:firstLine="0"/>
                    <w:jc w:val="left"/>
                    <w:rPr>
                      <w:rFonts w:ascii="Arial"/>
                      <w:sz w:val="10"/>
                    </w:rPr>
                  </w:pPr>
                  <w:r>
                    <w:rPr>
                      <w:rFonts w:ascii="Arial"/>
                      <w:color w:val="231F20"/>
                      <w:w w:val="105"/>
                      <w:sz w:val="10"/>
                    </w:rPr>
                    <w:t>P.O. Box 8016</w:t>
                  </w:r>
                </w:p>
                <w:p>
                  <w:pPr>
                    <w:spacing w:before="35"/>
                    <w:ind w:left="20" w:right="0" w:firstLine="0"/>
                    <w:jc w:val="left"/>
                    <w:rPr>
                      <w:rFonts w:ascii="Arial"/>
                      <w:sz w:val="10"/>
                    </w:rPr>
                  </w:pPr>
                  <w:r>
                    <w:rPr>
                      <w:rFonts w:ascii="Arial"/>
                      <w:color w:val="231F20"/>
                      <w:w w:val="105"/>
                      <w:sz w:val="10"/>
                    </w:rPr>
                    <w:t>Cary, NC 27512-9903</w:t>
                  </w:r>
                </w:p>
              </w:txbxContent>
            </v:textbox>
            <w10:wrap type="none"/>
          </v:shape>
        </w:pict>
      </w:r>
      <w:r>
        <w:rPr>
          <w:rFonts w:ascii="Arial"/>
          <w:b/>
          <w:color w:val="231F20"/>
          <w:w w:val="105"/>
          <w:sz w:val="10"/>
        </w:rPr>
        <w:t>The Depositary shall not vote or attempt to exercise the right to vote that attaches to the shares or other Deposited Securities, other than in accordance with such instructions.</w:t>
      </w:r>
    </w:p>
    <w:p>
      <w:pPr>
        <w:pStyle w:val="BodyText"/>
        <w:rPr>
          <w:rFonts w:ascii="Arial"/>
          <w:b/>
          <w:sz w:val="12"/>
        </w:rPr>
      </w:pPr>
    </w:p>
    <w:p>
      <w:pPr>
        <w:pStyle w:val="BodyText"/>
        <w:rPr>
          <w:rFonts w:ascii="Arial"/>
          <w:b/>
          <w:sz w:val="12"/>
        </w:rPr>
      </w:pPr>
    </w:p>
    <w:p>
      <w:pPr>
        <w:pStyle w:val="BodyText"/>
        <w:rPr>
          <w:rFonts w:ascii="Arial"/>
          <w:b/>
          <w:sz w:val="12"/>
        </w:rPr>
      </w:pPr>
    </w:p>
    <w:p>
      <w:pPr>
        <w:pStyle w:val="BodyText"/>
        <w:spacing w:before="7"/>
        <w:rPr>
          <w:rFonts w:ascii="Arial"/>
          <w:b/>
          <w:sz w:val="14"/>
        </w:rPr>
      </w:pPr>
    </w:p>
    <w:p>
      <w:pPr>
        <w:spacing w:before="0"/>
        <w:ind w:left="0" w:right="5364" w:firstLine="0"/>
        <w:jc w:val="center"/>
        <w:rPr>
          <w:rFonts w:ascii="Arial"/>
          <w:b/>
          <w:sz w:val="12"/>
        </w:rPr>
      </w:pPr>
      <w:r>
        <w:rPr>
          <w:rFonts w:ascii="Arial"/>
          <w:b/>
          <w:color w:val="231F20"/>
          <w:sz w:val="12"/>
        </w:rPr>
        <w:t>(Continued and to be marked, dated and signed, on the other side)</w:t>
      </w:r>
    </w:p>
    <w:p>
      <w:pPr>
        <w:spacing w:after="0"/>
        <w:jc w:val="center"/>
        <w:rPr>
          <w:rFonts w:ascii="Arial"/>
          <w:sz w:val="12"/>
        </w:rPr>
        <w:sectPr>
          <w:footerReference w:type="default" r:id="rId21"/>
          <w:pgSz w:w="11880" w:h="15480"/>
          <w:pgMar w:footer="0" w:header="0" w:top="320" w:bottom="280" w:left="300" w:right="0"/>
        </w:sectPr>
      </w:pPr>
    </w:p>
    <w:p>
      <w:pPr>
        <w:pStyle w:val="BodyText"/>
        <w:rPr>
          <w:rFonts w:ascii="Arial"/>
          <w:b/>
          <w:sz w:val="26"/>
        </w:rPr>
      </w:pPr>
    </w:p>
    <w:p>
      <w:pPr>
        <w:pStyle w:val="BodyText"/>
        <w:rPr>
          <w:rFonts w:ascii="Arial"/>
          <w:b/>
          <w:sz w:val="26"/>
        </w:rPr>
      </w:pPr>
    </w:p>
    <w:p>
      <w:pPr>
        <w:pStyle w:val="BodyText"/>
        <w:rPr>
          <w:rFonts w:ascii="Arial"/>
          <w:b/>
          <w:sz w:val="26"/>
        </w:rPr>
      </w:pPr>
    </w:p>
    <w:p>
      <w:pPr>
        <w:pStyle w:val="BodyText"/>
        <w:rPr>
          <w:rFonts w:ascii="Arial"/>
          <w:b/>
          <w:sz w:val="26"/>
        </w:rPr>
      </w:pPr>
    </w:p>
    <w:p>
      <w:pPr>
        <w:pStyle w:val="BodyText"/>
        <w:rPr>
          <w:rFonts w:ascii="Arial"/>
          <w:b/>
          <w:sz w:val="26"/>
        </w:rPr>
      </w:pPr>
    </w:p>
    <w:p>
      <w:pPr>
        <w:pStyle w:val="BodyText"/>
        <w:rPr>
          <w:rFonts w:ascii="Arial"/>
          <w:b/>
          <w:sz w:val="26"/>
        </w:rPr>
      </w:pPr>
    </w:p>
    <w:p>
      <w:pPr>
        <w:pStyle w:val="BodyText"/>
        <w:spacing w:before="7"/>
        <w:rPr>
          <w:rFonts w:ascii="Arial"/>
          <w:b/>
          <w:sz w:val="21"/>
        </w:rPr>
      </w:pPr>
    </w:p>
    <w:p>
      <w:pPr>
        <w:pStyle w:val="BodyText"/>
        <w:spacing w:before="1"/>
        <w:ind w:left="1090"/>
      </w:pPr>
      <w:r>
        <w:rPr>
          <w:color w:val="231F20"/>
          <w:w w:val="105"/>
          <w:u w:val="single" w:color="231F20"/>
        </w:rPr>
        <w:t>Company</w:t>
      </w:r>
      <w:r>
        <w:rPr>
          <w:color w:val="231F20"/>
          <w:w w:val="105"/>
        </w:rPr>
        <w:t>:</w:t>
      </w:r>
    </w:p>
    <w:p>
      <w:pPr>
        <w:pStyle w:val="BodyText"/>
        <w:rPr>
          <w:sz w:val="26"/>
        </w:rPr>
      </w:pPr>
      <w:r>
        <w:rPr/>
        <w:br w:type="column"/>
      </w:r>
      <w:r>
        <w:rPr>
          <w:sz w:val="26"/>
        </w:rPr>
      </w:r>
    </w:p>
    <w:p>
      <w:pPr>
        <w:pStyle w:val="BodyText"/>
        <w:spacing w:before="3"/>
        <w:rPr>
          <w:sz w:val="23"/>
        </w:rPr>
      </w:pPr>
    </w:p>
    <w:p>
      <w:pPr>
        <w:pStyle w:val="Heading2"/>
        <w:ind w:left="892" w:right="30"/>
        <w:jc w:val="center"/>
      </w:pPr>
      <w:r>
        <w:rPr>
          <w:color w:val="231F20"/>
          <w:w w:val="105"/>
        </w:rPr>
        <w:t>S H L TELEMEDICINE LTD.</w:t>
      </w:r>
    </w:p>
    <w:p>
      <w:pPr>
        <w:spacing w:before="9"/>
        <w:ind w:left="891" w:right="30" w:firstLine="0"/>
        <w:jc w:val="center"/>
        <w:rPr>
          <w:b/>
          <w:sz w:val="20"/>
        </w:rPr>
      </w:pPr>
      <w:r>
        <w:rPr>
          <w:b/>
          <w:color w:val="231F20"/>
          <w:sz w:val="20"/>
        </w:rPr>
        <w:t>(the “Company”)</w:t>
      </w:r>
    </w:p>
    <w:p>
      <w:pPr>
        <w:pStyle w:val="BodyText"/>
        <w:spacing w:before="8"/>
        <w:rPr>
          <w:b/>
          <w:sz w:val="21"/>
        </w:rPr>
      </w:pPr>
    </w:p>
    <w:p>
      <w:pPr>
        <w:pStyle w:val="Heading2"/>
        <w:spacing w:line="374" w:lineRule="auto"/>
        <w:ind w:left="892" w:right="30"/>
        <w:jc w:val="center"/>
      </w:pPr>
      <w:r>
        <w:rPr>
          <w:color w:val="231F20"/>
        </w:rPr>
        <w:t>ANNUAL GENERAL MEETING OF THE SHAREHOLDERS WRITTEN BALLOT</w:t>
      </w:r>
    </w:p>
    <w:p>
      <w:pPr>
        <w:spacing w:before="87"/>
        <w:ind w:left="724" w:right="0" w:firstLine="0"/>
        <w:jc w:val="left"/>
        <w:rPr>
          <w:b/>
          <w:sz w:val="20"/>
        </w:rPr>
      </w:pPr>
      <w:r>
        <w:rPr/>
        <w:br w:type="column"/>
      </w:r>
      <w:r>
        <w:rPr>
          <w:b/>
          <w:color w:val="231F20"/>
          <w:sz w:val="20"/>
        </w:rPr>
        <w:t>Exhibit 99.3</w:t>
      </w:r>
    </w:p>
    <w:p>
      <w:pPr>
        <w:spacing w:after="0"/>
        <w:jc w:val="left"/>
        <w:rPr>
          <w:sz w:val="20"/>
        </w:rPr>
        <w:sectPr>
          <w:footerReference w:type="default" r:id="rId22"/>
          <w:pgSz w:w="11880" w:h="15480"/>
          <w:pgMar w:footer="0" w:header="0" w:top="940" w:bottom="280" w:left="300" w:right="0"/>
          <w:cols w:num="3" w:equalWidth="0">
            <w:col w:w="1974" w:space="40"/>
            <w:col w:w="6391" w:space="39"/>
            <w:col w:w="3136"/>
          </w:cols>
        </w:sectPr>
      </w:pPr>
    </w:p>
    <w:p>
      <w:pPr>
        <w:tabs>
          <w:tab w:pos="4801" w:val="left" w:leader="none"/>
        </w:tabs>
        <w:spacing w:before="69"/>
        <w:ind w:left="1090" w:right="0" w:firstLine="0"/>
        <w:jc w:val="left"/>
        <w:rPr>
          <w:sz w:val="20"/>
        </w:rPr>
      </w:pPr>
      <w:r>
        <w:rPr>
          <w:b/>
          <w:color w:val="231F20"/>
          <w:sz w:val="20"/>
        </w:rPr>
        <w:t>Name</w:t>
      </w:r>
      <w:r>
        <w:rPr>
          <w:b/>
          <w:color w:val="231F20"/>
          <w:spacing w:val="-15"/>
          <w:sz w:val="20"/>
        </w:rPr>
        <w:t> </w:t>
      </w:r>
      <w:r>
        <w:rPr>
          <w:b/>
          <w:color w:val="231F20"/>
          <w:sz w:val="20"/>
        </w:rPr>
        <w:t>of</w:t>
      </w:r>
      <w:r>
        <w:rPr>
          <w:b/>
          <w:color w:val="231F20"/>
          <w:spacing w:val="-3"/>
          <w:sz w:val="20"/>
        </w:rPr>
        <w:t> </w:t>
      </w:r>
      <w:r>
        <w:rPr>
          <w:b/>
          <w:color w:val="231F20"/>
          <w:sz w:val="20"/>
        </w:rPr>
        <w:t>Company:</w:t>
        <w:tab/>
      </w:r>
      <w:r>
        <w:rPr>
          <w:color w:val="231F20"/>
          <w:sz w:val="20"/>
        </w:rPr>
        <w:t>SHL Telemedicine Ltd.</w:t>
      </w:r>
    </w:p>
    <w:p>
      <w:pPr>
        <w:pStyle w:val="BodyText"/>
        <w:tabs>
          <w:tab w:pos="4801" w:val="left" w:leader="none"/>
        </w:tabs>
        <w:spacing w:before="69"/>
        <w:ind w:left="1090"/>
      </w:pPr>
      <w:r>
        <w:rPr>
          <w:b/>
          <w:color w:val="231F20"/>
        </w:rPr>
        <w:t>Address:</w:t>
        <w:tab/>
      </w:r>
      <w:r>
        <w:rPr>
          <w:color w:val="231F20"/>
          <w:w w:val="105"/>
        </w:rPr>
        <w:t>90 </w:t>
      </w:r>
      <w:r>
        <w:rPr>
          <w:color w:val="231F20"/>
          <w:spacing w:val="-4"/>
          <w:w w:val="105"/>
        </w:rPr>
        <w:t>Yigal </w:t>
      </w:r>
      <w:r>
        <w:rPr>
          <w:color w:val="231F20"/>
          <w:w w:val="105"/>
        </w:rPr>
        <w:t>Alon Street, Ashdar Building, </w:t>
      </w:r>
      <w:r>
        <w:rPr>
          <w:color w:val="231F20"/>
          <w:spacing w:val="-7"/>
          <w:w w:val="105"/>
        </w:rPr>
        <w:t>Tel-Aviv,</w:t>
      </w:r>
      <w:r>
        <w:rPr>
          <w:color w:val="231F20"/>
          <w:spacing w:val="-22"/>
          <w:w w:val="105"/>
        </w:rPr>
        <w:t> </w:t>
      </w:r>
      <w:r>
        <w:rPr>
          <w:color w:val="231F20"/>
          <w:w w:val="105"/>
        </w:rPr>
        <w:t>Israel</w:t>
      </w:r>
    </w:p>
    <w:p>
      <w:pPr>
        <w:tabs>
          <w:tab w:pos="5699" w:val="right" w:leader="none"/>
        </w:tabs>
        <w:spacing w:before="70"/>
        <w:ind w:left="1090" w:right="0" w:firstLine="0"/>
        <w:jc w:val="left"/>
        <w:rPr>
          <w:sz w:val="20"/>
        </w:rPr>
      </w:pPr>
      <w:r>
        <w:rPr>
          <w:b/>
          <w:color w:val="231F20"/>
          <w:sz w:val="20"/>
        </w:rPr>
        <w:t>Company</w:t>
      </w:r>
      <w:r>
        <w:rPr>
          <w:b/>
          <w:color w:val="231F20"/>
          <w:spacing w:val="-4"/>
          <w:sz w:val="20"/>
        </w:rPr>
        <w:t> </w:t>
      </w:r>
      <w:r>
        <w:rPr>
          <w:b/>
          <w:color w:val="231F20"/>
          <w:sz w:val="20"/>
        </w:rPr>
        <w:t>Registration</w:t>
      </w:r>
      <w:r>
        <w:rPr>
          <w:b/>
          <w:color w:val="231F20"/>
          <w:spacing w:val="-4"/>
          <w:sz w:val="20"/>
        </w:rPr>
        <w:t> </w:t>
      </w:r>
      <w:r>
        <w:rPr>
          <w:b/>
          <w:color w:val="231F20"/>
          <w:sz w:val="20"/>
        </w:rPr>
        <w:t>No.:</w:t>
        <w:tab/>
      </w:r>
      <w:r>
        <w:rPr>
          <w:color w:val="231F20"/>
          <w:sz w:val="20"/>
        </w:rPr>
        <w:t>511149874</w:t>
      </w:r>
    </w:p>
    <w:p>
      <w:pPr>
        <w:tabs>
          <w:tab w:pos="4801" w:val="left" w:leader="none"/>
        </w:tabs>
        <w:spacing w:before="69"/>
        <w:ind w:left="1090" w:right="0" w:firstLine="0"/>
        <w:jc w:val="left"/>
        <w:rPr>
          <w:sz w:val="20"/>
        </w:rPr>
      </w:pPr>
      <w:r>
        <w:rPr>
          <w:b/>
          <w:color w:val="231F20"/>
          <w:w w:val="105"/>
          <w:sz w:val="20"/>
        </w:rPr>
        <w:t>Meeting</w:t>
      </w:r>
      <w:r>
        <w:rPr>
          <w:b/>
          <w:color w:val="231F20"/>
          <w:spacing w:val="-32"/>
          <w:w w:val="105"/>
          <w:sz w:val="20"/>
        </w:rPr>
        <w:t> </w:t>
      </w:r>
      <w:r>
        <w:rPr>
          <w:b/>
          <w:color w:val="231F20"/>
          <w:w w:val="105"/>
          <w:sz w:val="20"/>
        </w:rPr>
        <w:t>Date</w:t>
      </w:r>
      <w:r>
        <w:rPr>
          <w:b/>
          <w:color w:val="231F20"/>
          <w:spacing w:val="-31"/>
          <w:w w:val="105"/>
          <w:sz w:val="20"/>
        </w:rPr>
        <w:t> </w:t>
      </w:r>
      <w:r>
        <w:rPr>
          <w:b/>
          <w:color w:val="231F20"/>
          <w:w w:val="105"/>
          <w:sz w:val="20"/>
        </w:rPr>
        <w:t>and</w:t>
      </w:r>
      <w:r>
        <w:rPr>
          <w:b/>
          <w:color w:val="231F20"/>
          <w:spacing w:val="-31"/>
          <w:w w:val="105"/>
          <w:sz w:val="20"/>
        </w:rPr>
        <w:t> </w:t>
      </w:r>
      <w:r>
        <w:rPr>
          <w:b/>
          <w:color w:val="231F20"/>
          <w:w w:val="105"/>
          <w:sz w:val="20"/>
        </w:rPr>
        <w:t>Time:</w:t>
        <w:tab/>
      </w:r>
      <w:r>
        <w:rPr>
          <w:color w:val="231F20"/>
          <w:w w:val="105"/>
          <w:sz w:val="20"/>
        </w:rPr>
        <w:t>February 8, 2024 </w:t>
      </w:r>
      <w:r>
        <w:rPr>
          <w:color w:val="231F20"/>
          <w:spacing w:val="-3"/>
          <w:w w:val="105"/>
          <w:sz w:val="20"/>
        </w:rPr>
        <w:t>at </w:t>
      </w:r>
      <w:r>
        <w:rPr>
          <w:color w:val="231F20"/>
          <w:w w:val="105"/>
          <w:sz w:val="20"/>
        </w:rPr>
        <w:t>17:00 Israel</w:t>
      </w:r>
      <w:r>
        <w:rPr>
          <w:color w:val="231F20"/>
          <w:spacing w:val="-19"/>
          <w:w w:val="105"/>
          <w:sz w:val="20"/>
        </w:rPr>
        <w:t> </w:t>
      </w:r>
      <w:r>
        <w:rPr>
          <w:color w:val="231F20"/>
          <w:w w:val="105"/>
          <w:sz w:val="20"/>
        </w:rPr>
        <w:t>Time</w:t>
      </w:r>
    </w:p>
    <w:p>
      <w:pPr>
        <w:tabs>
          <w:tab w:pos="4801" w:val="left" w:leader="none"/>
        </w:tabs>
        <w:spacing w:before="69"/>
        <w:ind w:left="1090" w:right="0" w:firstLine="0"/>
        <w:jc w:val="left"/>
        <w:rPr>
          <w:sz w:val="20"/>
        </w:rPr>
      </w:pPr>
      <w:r>
        <w:rPr>
          <w:b/>
          <w:color w:val="231F20"/>
          <w:w w:val="105"/>
          <w:sz w:val="20"/>
        </w:rPr>
        <w:t>Type</w:t>
      </w:r>
      <w:r>
        <w:rPr>
          <w:b/>
          <w:color w:val="231F20"/>
          <w:spacing w:val="-27"/>
          <w:w w:val="105"/>
          <w:sz w:val="20"/>
        </w:rPr>
        <w:t> </w:t>
      </w:r>
      <w:r>
        <w:rPr>
          <w:b/>
          <w:color w:val="231F20"/>
          <w:w w:val="105"/>
          <w:sz w:val="20"/>
        </w:rPr>
        <w:t>of</w:t>
      </w:r>
      <w:r>
        <w:rPr>
          <w:b/>
          <w:color w:val="231F20"/>
          <w:spacing w:val="-19"/>
          <w:w w:val="105"/>
          <w:sz w:val="20"/>
        </w:rPr>
        <w:t> </w:t>
      </w:r>
      <w:r>
        <w:rPr>
          <w:b/>
          <w:color w:val="231F20"/>
          <w:w w:val="105"/>
          <w:sz w:val="20"/>
        </w:rPr>
        <w:t>Meeting:</w:t>
        <w:tab/>
      </w:r>
      <w:r>
        <w:rPr>
          <w:color w:val="231F20"/>
          <w:spacing w:val="-3"/>
          <w:w w:val="105"/>
          <w:sz w:val="20"/>
        </w:rPr>
        <w:t>Annual </w:t>
      </w:r>
      <w:r>
        <w:rPr>
          <w:color w:val="231F20"/>
          <w:w w:val="105"/>
          <w:sz w:val="20"/>
        </w:rPr>
        <w:t>General</w:t>
      </w:r>
      <w:r>
        <w:rPr>
          <w:color w:val="231F20"/>
          <w:spacing w:val="-3"/>
          <w:w w:val="105"/>
          <w:sz w:val="20"/>
        </w:rPr>
        <w:t> </w:t>
      </w:r>
      <w:r>
        <w:rPr>
          <w:color w:val="231F20"/>
          <w:w w:val="105"/>
          <w:sz w:val="20"/>
        </w:rPr>
        <w:t>Meeting</w:t>
      </w:r>
    </w:p>
    <w:p>
      <w:pPr>
        <w:tabs>
          <w:tab w:pos="4801" w:val="left" w:leader="none"/>
        </w:tabs>
        <w:spacing w:before="70"/>
        <w:ind w:left="1090" w:right="0" w:firstLine="0"/>
        <w:jc w:val="left"/>
        <w:rPr>
          <w:sz w:val="20"/>
        </w:rPr>
      </w:pPr>
      <w:r>
        <w:rPr>
          <w:b/>
          <w:color w:val="231F20"/>
          <w:spacing w:val="-3"/>
          <w:sz w:val="20"/>
        </w:rPr>
        <w:t>Record</w:t>
      </w:r>
      <w:r>
        <w:rPr>
          <w:b/>
          <w:color w:val="231F20"/>
          <w:spacing w:val="-10"/>
          <w:sz w:val="20"/>
        </w:rPr>
        <w:t> </w:t>
      </w:r>
      <w:r>
        <w:rPr>
          <w:b/>
          <w:color w:val="231F20"/>
          <w:sz w:val="20"/>
        </w:rPr>
        <w:t>Date:</w:t>
        <w:tab/>
      </w:r>
      <w:r>
        <w:rPr>
          <w:color w:val="231F20"/>
          <w:spacing w:val="-3"/>
          <w:sz w:val="20"/>
        </w:rPr>
        <w:t>January </w:t>
      </w:r>
      <w:r>
        <w:rPr>
          <w:color w:val="231F20"/>
          <w:sz w:val="20"/>
        </w:rPr>
        <w:t>4,</w:t>
      </w:r>
      <w:r>
        <w:rPr>
          <w:color w:val="231F20"/>
          <w:spacing w:val="2"/>
          <w:sz w:val="20"/>
        </w:rPr>
        <w:t> </w:t>
      </w:r>
      <w:r>
        <w:rPr>
          <w:color w:val="231F20"/>
          <w:sz w:val="20"/>
        </w:rPr>
        <w:t>2024</w:t>
      </w:r>
    </w:p>
    <w:p>
      <w:pPr>
        <w:pStyle w:val="BodyText"/>
        <w:spacing w:before="9"/>
        <w:rPr>
          <w:sz w:val="26"/>
        </w:rPr>
      </w:pPr>
    </w:p>
    <w:p>
      <w:pPr>
        <w:pStyle w:val="BodyText"/>
        <w:spacing w:before="1"/>
        <w:ind w:left="1090"/>
      </w:pPr>
      <w:r>
        <w:rPr>
          <w:color w:val="231F20"/>
          <w:w w:val="105"/>
          <w:u w:val="single" w:color="231F20"/>
        </w:rPr>
        <w:t>Shareholder</w:t>
      </w:r>
      <w:r>
        <w:rPr>
          <w:color w:val="231F20"/>
          <w:w w:val="105"/>
        </w:rPr>
        <w:t>:</w:t>
      </w:r>
    </w:p>
    <w:p>
      <w:pPr>
        <w:pStyle w:val="Heading2"/>
        <w:spacing w:before="189"/>
      </w:pPr>
      <w:r>
        <w:rPr/>
        <w:pict>
          <v:shape style="position:absolute;margin-left:255.095001pt;margin-top:23.027052pt;width:173.65pt;height:.1pt;mso-position-horizontal-relative:page;mso-position-vertical-relative:paragraph;z-index:-15693312;mso-wrap-distance-left:0;mso-wrap-distance-right:0" coordorigin="5102,461" coordsize="3473,0" path="m5102,461l8574,461e" filled="false" stroked="true" strokeweight=".499pt" strokecolor="#231f20">
            <v:path arrowok="t"/>
            <v:stroke dashstyle="solid"/>
            <w10:wrap type="topAndBottom"/>
          </v:shape>
        </w:pict>
      </w:r>
      <w:r>
        <w:rPr>
          <w:color w:val="231F20"/>
        </w:rPr>
        <w:t>Name:</w:t>
      </w:r>
    </w:p>
    <w:p>
      <w:pPr>
        <w:pStyle w:val="BodyText"/>
        <w:spacing w:before="7"/>
        <w:rPr>
          <w:b/>
          <w:sz w:val="14"/>
        </w:rPr>
      </w:pPr>
    </w:p>
    <w:p>
      <w:pPr>
        <w:spacing w:before="105"/>
        <w:ind w:left="1090" w:right="0" w:firstLine="0"/>
        <w:jc w:val="left"/>
        <w:rPr>
          <w:b/>
          <w:sz w:val="20"/>
        </w:rPr>
      </w:pPr>
      <w:r>
        <w:rPr/>
        <w:pict>
          <v:shape style="position:absolute;margin-left:255.095001pt;margin-top:18.826925pt;width:173.65pt;height:.1pt;mso-position-horizontal-relative:page;mso-position-vertical-relative:paragraph;z-index:-15692800;mso-wrap-distance-left:0;mso-wrap-distance-right:0" coordorigin="5102,377" coordsize="3473,0" path="m5102,377l8574,377e" filled="false" stroked="true" strokeweight=".499pt" strokecolor="#231f20">
            <v:path arrowok="t"/>
            <v:stroke dashstyle="solid"/>
            <w10:wrap type="topAndBottom"/>
          </v:shape>
        </w:pict>
      </w:r>
      <w:r>
        <w:rPr>
          <w:b/>
          <w:color w:val="231F20"/>
          <w:sz w:val="20"/>
        </w:rPr>
        <w:t>Israeli ID Number:</w:t>
      </w:r>
    </w:p>
    <w:p>
      <w:pPr>
        <w:pStyle w:val="BodyText"/>
        <w:spacing w:before="7"/>
        <w:rPr>
          <w:b/>
          <w:sz w:val="14"/>
        </w:rPr>
      </w:pPr>
    </w:p>
    <w:p>
      <w:pPr>
        <w:pStyle w:val="Heading2"/>
        <w:spacing w:before="105"/>
      </w:pPr>
      <w:r>
        <w:rPr>
          <w:color w:val="231F20"/>
        </w:rPr>
        <w:t>For a non-Israeli shareholder:</w:t>
      </w:r>
    </w:p>
    <w:p>
      <w:pPr>
        <w:pStyle w:val="ListParagraph"/>
        <w:numPr>
          <w:ilvl w:val="1"/>
          <w:numId w:val="14"/>
        </w:numPr>
        <w:tabs>
          <w:tab w:pos="1689" w:val="left" w:leader="none"/>
        </w:tabs>
        <w:spacing w:line="240" w:lineRule="auto" w:before="69" w:after="0"/>
        <w:ind w:left="1688" w:right="0" w:hanging="400"/>
        <w:jc w:val="left"/>
        <w:rPr>
          <w:sz w:val="20"/>
        </w:rPr>
      </w:pPr>
      <w:r>
        <w:rPr/>
        <w:pict>
          <v:shape style="position:absolute;margin-left:255.095001pt;margin-top:17.02685pt;width:173.65pt;height:.1pt;mso-position-horizontal-relative:page;mso-position-vertical-relative:paragraph;z-index:-15692288;mso-wrap-distance-left:0;mso-wrap-distance-right:0" coordorigin="5102,341" coordsize="3473,0" path="m5102,341l8574,341e" filled="false" stroked="true" strokeweight=".499pt" strokecolor="#231f20">
            <v:path arrowok="t"/>
            <v:stroke dashstyle="solid"/>
            <w10:wrap type="topAndBottom"/>
          </v:shape>
        </w:pict>
      </w:r>
      <w:r>
        <w:rPr>
          <w:color w:val="231F20"/>
          <w:w w:val="110"/>
          <w:sz w:val="20"/>
        </w:rPr>
        <w:t>Passport</w:t>
      </w:r>
      <w:r>
        <w:rPr>
          <w:color w:val="231F20"/>
          <w:spacing w:val="-7"/>
          <w:w w:val="110"/>
          <w:sz w:val="20"/>
        </w:rPr>
        <w:t> </w:t>
      </w:r>
      <w:r>
        <w:rPr>
          <w:color w:val="231F20"/>
          <w:w w:val="110"/>
          <w:sz w:val="20"/>
        </w:rPr>
        <w:t>Number:</w:t>
      </w:r>
    </w:p>
    <w:p>
      <w:pPr>
        <w:pStyle w:val="BodyText"/>
        <w:spacing w:before="10"/>
        <w:rPr>
          <w:sz w:val="14"/>
        </w:rPr>
      </w:pPr>
    </w:p>
    <w:p>
      <w:pPr>
        <w:pStyle w:val="ListParagraph"/>
        <w:numPr>
          <w:ilvl w:val="1"/>
          <w:numId w:val="14"/>
        </w:numPr>
        <w:tabs>
          <w:tab w:pos="1689" w:val="left" w:leader="none"/>
          <w:tab w:pos="4801" w:val="left" w:leader="none"/>
          <w:tab w:pos="8224" w:val="left" w:leader="none"/>
        </w:tabs>
        <w:spacing w:line="240" w:lineRule="auto" w:before="102" w:after="0"/>
        <w:ind w:left="1688" w:right="0" w:hanging="400"/>
        <w:jc w:val="left"/>
        <w:rPr>
          <w:sz w:val="20"/>
        </w:rPr>
      </w:pPr>
      <w:r>
        <w:rPr>
          <w:color w:val="231F20"/>
          <w:w w:val="105"/>
          <w:sz w:val="20"/>
        </w:rPr>
        <w:t>Issued in (indicate</w:t>
      </w:r>
      <w:r>
        <w:rPr>
          <w:color w:val="231F20"/>
          <w:spacing w:val="-1"/>
          <w:w w:val="105"/>
          <w:sz w:val="20"/>
        </w:rPr>
        <w:t> </w:t>
      </w:r>
      <w:r>
        <w:rPr>
          <w:color w:val="231F20"/>
          <w:w w:val="105"/>
          <w:sz w:val="20"/>
        </w:rPr>
        <w:t>country):</w:t>
      </w:r>
      <w:r>
        <w:rPr>
          <w:color w:val="231F20"/>
          <w:sz w:val="20"/>
        </w:rPr>
        <w:tab/>
      </w:r>
      <w:r>
        <w:rPr>
          <w:color w:val="231F20"/>
          <w:w w:val="99"/>
          <w:sz w:val="20"/>
          <w:u w:val="single" w:color="231F20"/>
        </w:rPr>
        <w:t> </w:t>
      </w:r>
      <w:r>
        <w:rPr>
          <w:color w:val="231F20"/>
          <w:sz w:val="20"/>
          <w:u w:val="single" w:color="231F20"/>
        </w:rPr>
        <w:tab/>
      </w:r>
    </w:p>
    <w:p>
      <w:pPr>
        <w:pStyle w:val="BodyText"/>
        <w:spacing w:before="5"/>
        <w:rPr>
          <w:sz w:val="21"/>
        </w:rPr>
      </w:pPr>
    </w:p>
    <w:p>
      <w:pPr>
        <w:pStyle w:val="ListParagraph"/>
        <w:numPr>
          <w:ilvl w:val="1"/>
          <w:numId w:val="14"/>
        </w:numPr>
        <w:tabs>
          <w:tab w:pos="1689" w:val="left" w:leader="none"/>
          <w:tab w:pos="4801" w:val="left" w:leader="none"/>
          <w:tab w:pos="8224" w:val="left" w:leader="none"/>
        </w:tabs>
        <w:spacing w:line="240" w:lineRule="auto" w:before="102" w:after="0"/>
        <w:ind w:left="1688" w:right="0" w:hanging="400"/>
        <w:jc w:val="left"/>
        <w:rPr>
          <w:sz w:val="20"/>
        </w:rPr>
      </w:pPr>
      <w:r>
        <w:rPr>
          <w:color w:val="231F20"/>
          <w:spacing w:val="-5"/>
          <w:w w:val="105"/>
          <w:sz w:val="20"/>
        </w:rPr>
        <w:t>Valid </w:t>
      </w:r>
      <w:r>
        <w:rPr>
          <w:color w:val="231F20"/>
          <w:w w:val="105"/>
          <w:sz w:val="20"/>
        </w:rPr>
        <w:t>until (add</w:t>
      </w:r>
      <w:r>
        <w:rPr>
          <w:color w:val="231F20"/>
          <w:spacing w:val="12"/>
          <w:w w:val="105"/>
          <w:sz w:val="20"/>
        </w:rPr>
        <w:t> </w:t>
      </w:r>
      <w:r>
        <w:rPr>
          <w:color w:val="231F20"/>
          <w:w w:val="105"/>
          <w:sz w:val="20"/>
        </w:rPr>
        <w:t>date):</w:t>
      </w:r>
      <w:r>
        <w:rPr>
          <w:color w:val="231F20"/>
          <w:sz w:val="20"/>
        </w:rPr>
        <w:tab/>
      </w:r>
      <w:r>
        <w:rPr>
          <w:color w:val="231F20"/>
          <w:w w:val="99"/>
          <w:sz w:val="20"/>
          <w:u w:val="single" w:color="231F20"/>
        </w:rPr>
        <w:t> </w:t>
      </w:r>
      <w:r>
        <w:rPr>
          <w:color w:val="231F20"/>
          <w:sz w:val="20"/>
          <w:u w:val="single" w:color="231F20"/>
        </w:rPr>
        <w:tab/>
      </w:r>
    </w:p>
    <w:p>
      <w:pPr>
        <w:pStyle w:val="BodyText"/>
        <w:spacing w:before="3"/>
        <w:rPr>
          <w:sz w:val="21"/>
        </w:rPr>
      </w:pPr>
    </w:p>
    <w:p>
      <w:pPr>
        <w:pStyle w:val="Heading2"/>
        <w:spacing w:before="104"/>
      </w:pPr>
      <w:r>
        <w:rPr>
          <w:color w:val="231F20"/>
        </w:rPr>
        <w:t>For a shareholder who is an entity:</w:t>
      </w:r>
    </w:p>
    <w:p>
      <w:pPr>
        <w:pStyle w:val="ListParagraph"/>
        <w:numPr>
          <w:ilvl w:val="0"/>
          <w:numId w:val="15"/>
        </w:numPr>
        <w:tabs>
          <w:tab w:pos="1689" w:val="left" w:leader="none"/>
          <w:tab w:pos="4801" w:val="left" w:leader="none"/>
          <w:tab w:pos="8224" w:val="left" w:leader="none"/>
        </w:tabs>
        <w:spacing w:line="240" w:lineRule="auto" w:before="70" w:after="0"/>
        <w:ind w:left="1688" w:right="0" w:hanging="400"/>
        <w:jc w:val="left"/>
        <w:rPr>
          <w:sz w:val="20"/>
        </w:rPr>
      </w:pPr>
      <w:r>
        <w:rPr>
          <w:color w:val="231F20"/>
          <w:w w:val="110"/>
          <w:sz w:val="20"/>
        </w:rPr>
        <w:t>Entity</w:t>
      </w:r>
      <w:r>
        <w:rPr>
          <w:color w:val="231F20"/>
          <w:spacing w:val="-30"/>
          <w:w w:val="110"/>
          <w:sz w:val="20"/>
        </w:rPr>
        <w:t> </w:t>
      </w:r>
      <w:r>
        <w:rPr>
          <w:color w:val="231F20"/>
          <w:w w:val="110"/>
          <w:sz w:val="20"/>
        </w:rPr>
        <w:t>Registration</w:t>
      </w:r>
      <w:r>
        <w:rPr>
          <w:color w:val="231F20"/>
          <w:spacing w:val="-29"/>
          <w:w w:val="110"/>
          <w:sz w:val="20"/>
        </w:rPr>
        <w:t> </w:t>
      </w:r>
      <w:r>
        <w:rPr>
          <w:color w:val="231F20"/>
          <w:spacing w:val="-3"/>
          <w:w w:val="110"/>
          <w:sz w:val="20"/>
        </w:rPr>
        <w:t>No.:</w:t>
      </w:r>
      <w:r>
        <w:rPr>
          <w:color w:val="231F20"/>
          <w:spacing w:val="-3"/>
          <w:sz w:val="20"/>
        </w:rPr>
        <w:tab/>
      </w:r>
      <w:r>
        <w:rPr>
          <w:color w:val="231F20"/>
          <w:spacing w:val="-3"/>
          <w:w w:val="99"/>
          <w:sz w:val="20"/>
          <w:u w:val="single" w:color="231F20"/>
        </w:rPr>
        <w:t> </w:t>
      </w:r>
      <w:r>
        <w:rPr>
          <w:color w:val="231F20"/>
          <w:spacing w:val="-3"/>
          <w:sz w:val="20"/>
          <w:u w:val="single" w:color="231F20"/>
        </w:rPr>
        <w:tab/>
      </w:r>
    </w:p>
    <w:p>
      <w:pPr>
        <w:pStyle w:val="BodyText"/>
        <w:spacing w:before="5"/>
        <w:rPr>
          <w:sz w:val="21"/>
        </w:rPr>
      </w:pPr>
    </w:p>
    <w:p>
      <w:pPr>
        <w:pStyle w:val="ListParagraph"/>
        <w:numPr>
          <w:ilvl w:val="0"/>
          <w:numId w:val="15"/>
        </w:numPr>
        <w:tabs>
          <w:tab w:pos="1689" w:val="left" w:leader="none"/>
          <w:tab w:pos="4801" w:val="left" w:leader="none"/>
          <w:tab w:pos="8224" w:val="left" w:leader="none"/>
        </w:tabs>
        <w:spacing w:line="240" w:lineRule="auto" w:before="102" w:after="0"/>
        <w:ind w:left="1688" w:right="0" w:hanging="400"/>
        <w:jc w:val="left"/>
        <w:rPr>
          <w:sz w:val="20"/>
        </w:rPr>
      </w:pPr>
      <w:r>
        <w:rPr>
          <w:color w:val="231F20"/>
          <w:w w:val="105"/>
          <w:sz w:val="20"/>
        </w:rPr>
        <w:t>State of</w:t>
      </w:r>
      <w:r>
        <w:rPr>
          <w:color w:val="231F20"/>
          <w:spacing w:val="25"/>
          <w:w w:val="105"/>
          <w:sz w:val="20"/>
        </w:rPr>
        <w:t> </w:t>
      </w:r>
      <w:r>
        <w:rPr>
          <w:color w:val="231F20"/>
          <w:w w:val="105"/>
          <w:sz w:val="20"/>
        </w:rPr>
        <w:t>registration:</w:t>
      </w:r>
      <w:r>
        <w:rPr>
          <w:color w:val="231F20"/>
          <w:sz w:val="20"/>
        </w:rPr>
        <w:tab/>
      </w:r>
      <w:r>
        <w:rPr>
          <w:color w:val="231F20"/>
          <w:w w:val="99"/>
          <w:sz w:val="20"/>
          <w:u w:val="single" w:color="231F20"/>
        </w:rPr>
        <w:t> </w:t>
      </w:r>
      <w:r>
        <w:rPr>
          <w:color w:val="231F20"/>
          <w:sz w:val="20"/>
          <w:u w:val="single" w:color="231F20"/>
        </w:rPr>
        <w:tab/>
      </w:r>
    </w:p>
    <w:p>
      <w:pPr>
        <w:pStyle w:val="BodyText"/>
        <w:spacing w:before="3"/>
        <w:rPr>
          <w:sz w:val="21"/>
        </w:rPr>
      </w:pPr>
    </w:p>
    <w:p>
      <w:pPr>
        <w:pStyle w:val="Heading2"/>
        <w:spacing w:before="104"/>
      </w:pPr>
      <w:r>
        <w:rPr/>
        <w:pict>
          <v:shape style="position:absolute;margin-left:255.095001pt;margin-top:18.776632pt;width:173.65pt;height:.1pt;mso-position-horizontal-relative:page;mso-position-vertical-relative:paragraph;z-index:-15691776;mso-wrap-distance-left:0;mso-wrap-distance-right:0" coordorigin="5102,376" coordsize="3473,0" path="m5102,376l8574,376e" filled="false" stroked="true" strokeweight=".499pt" strokecolor="#231f20">
            <v:path arrowok="t"/>
            <v:stroke dashstyle="solid"/>
            <w10:wrap type="topAndBottom"/>
          </v:shape>
        </w:pict>
      </w:r>
      <w:r>
        <w:rPr>
          <w:color w:val="231F20"/>
        </w:rPr>
        <w:t>Number of Shares:</w:t>
      </w:r>
    </w:p>
    <w:p>
      <w:pPr>
        <w:spacing w:after="0"/>
        <w:sectPr>
          <w:type w:val="continuous"/>
          <w:pgSz w:w="11880" w:h="15480"/>
          <w:pgMar w:top="700" w:bottom="280" w:left="300" w:right="0"/>
        </w:sectPr>
      </w:pPr>
    </w:p>
    <w:tbl>
      <w:tblPr>
        <w:tblW w:w="0" w:type="auto"/>
        <w:jc w:val="left"/>
        <w:tblInd w:w="13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232"/>
        <w:gridCol w:w="1077"/>
        <w:gridCol w:w="938"/>
        <w:gridCol w:w="1149"/>
        <w:gridCol w:w="1240"/>
        <w:gridCol w:w="1144"/>
      </w:tblGrid>
      <w:tr>
        <w:trPr>
          <w:trHeight w:val="1555" w:hRule="atLeast"/>
        </w:trPr>
        <w:tc>
          <w:tcPr>
            <w:tcW w:w="3232" w:type="dxa"/>
          </w:tcPr>
          <w:p>
            <w:pPr>
              <w:pStyle w:val="TableParagraph"/>
              <w:rPr>
                <w:b/>
                <w:sz w:val="28"/>
              </w:rPr>
            </w:pPr>
          </w:p>
          <w:p>
            <w:pPr>
              <w:pStyle w:val="TableParagraph"/>
              <w:rPr>
                <w:b/>
                <w:sz w:val="28"/>
              </w:rPr>
            </w:pPr>
          </w:p>
          <w:p>
            <w:pPr>
              <w:pStyle w:val="TableParagraph"/>
              <w:rPr>
                <w:b/>
                <w:sz w:val="28"/>
              </w:rPr>
            </w:pPr>
          </w:p>
          <w:p>
            <w:pPr>
              <w:pStyle w:val="TableParagraph"/>
              <w:spacing w:before="9"/>
              <w:rPr>
                <w:b/>
                <w:sz w:val="30"/>
              </w:rPr>
            </w:pPr>
          </w:p>
          <w:p>
            <w:pPr>
              <w:pStyle w:val="TableParagraph"/>
              <w:spacing w:line="216" w:lineRule="exact"/>
              <w:ind w:left="804"/>
              <w:rPr>
                <w:b/>
                <w:sz w:val="21"/>
              </w:rPr>
            </w:pPr>
            <w:r>
              <w:rPr>
                <w:b/>
                <w:color w:val="231F20"/>
                <w:sz w:val="21"/>
              </w:rPr>
              <w:t>Proposal Number</w:t>
            </w:r>
          </w:p>
        </w:tc>
        <w:tc>
          <w:tcPr>
            <w:tcW w:w="3164" w:type="dxa"/>
            <w:gridSpan w:val="3"/>
          </w:tcPr>
          <w:p>
            <w:pPr>
              <w:pStyle w:val="TableParagraph"/>
              <w:rPr>
                <w:b/>
                <w:sz w:val="28"/>
              </w:rPr>
            </w:pPr>
          </w:p>
          <w:p>
            <w:pPr>
              <w:pStyle w:val="TableParagraph"/>
              <w:rPr>
                <w:b/>
                <w:sz w:val="28"/>
              </w:rPr>
            </w:pPr>
          </w:p>
          <w:p>
            <w:pPr>
              <w:pStyle w:val="TableParagraph"/>
              <w:rPr>
                <w:b/>
                <w:sz w:val="28"/>
              </w:rPr>
            </w:pPr>
          </w:p>
          <w:p>
            <w:pPr>
              <w:pStyle w:val="TableParagraph"/>
              <w:spacing w:before="3"/>
              <w:rPr>
                <w:b/>
                <w:sz w:val="30"/>
              </w:rPr>
            </w:pPr>
          </w:p>
          <w:p>
            <w:pPr>
              <w:pStyle w:val="TableParagraph"/>
              <w:spacing w:line="221" w:lineRule="exact" w:before="1"/>
              <w:ind w:left="821"/>
              <w:rPr>
                <w:b/>
                <w:sz w:val="13"/>
              </w:rPr>
            </w:pPr>
            <w:r>
              <w:rPr>
                <w:b/>
                <w:color w:val="231F20"/>
                <w:sz w:val="21"/>
              </w:rPr>
              <w:t>Manner of Vote</w:t>
            </w:r>
            <w:r>
              <w:rPr>
                <w:b/>
                <w:color w:val="231F20"/>
                <w:position w:val="8"/>
                <w:sz w:val="13"/>
              </w:rPr>
              <w:t>1</w:t>
            </w:r>
          </w:p>
        </w:tc>
        <w:tc>
          <w:tcPr>
            <w:tcW w:w="2384" w:type="dxa"/>
            <w:gridSpan w:val="2"/>
          </w:tcPr>
          <w:p>
            <w:pPr>
              <w:pStyle w:val="TableParagraph"/>
              <w:spacing w:line="237" w:lineRule="auto"/>
              <w:ind w:left="136" w:right="162" w:firstLine="1"/>
              <w:jc w:val="center"/>
              <w:rPr>
                <w:b/>
                <w:sz w:val="13"/>
              </w:rPr>
            </w:pPr>
            <w:r>
              <w:rPr>
                <w:b/>
                <w:color w:val="231F20"/>
                <w:sz w:val="21"/>
              </w:rPr>
              <w:t>Are you a “controlling shareholder” or do </w:t>
            </w:r>
            <w:r>
              <w:rPr>
                <w:b/>
                <w:color w:val="231F20"/>
                <w:spacing w:val="-5"/>
                <w:sz w:val="21"/>
              </w:rPr>
              <w:t>you </w:t>
            </w:r>
            <w:r>
              <w:rPr>
                <w:b/>
                <w:color w:val="231F20"/>
                <w:sz w:val="21"/>
              </w:rPr>
              <w:t>have a “personal benefit or other interest”</w:t>
            </w:r>
            <w:r>
              <w:rPr>
                <w:b/>
                <w:color w:val="231F20"/>
                <w:position w:val="8"/>
                <w:sz w:val="13"/>
              </w:rPr>
              <w:t>2 </w:t>
            </w:r>
            <w:r>
              <w:rPr>
                <w:b/>
                <w:color w:val="231F20"/>
                <w:sz w:val="21"/>
              </w:rPr>
              <w:t>in the proposal?</w:t>
            </w:r>
            <w:r>
              <w:rPr>
                <w:b/>
                <w:color w:val="231F20"/>
                <w:position w:val="8"/>
                <w:sz w:val="13"/>
              </w:rPr>
              <w:t>3</w:t>
            </w:r>
          </w:p>
        </w:tc>
      </w:tr>
      <w:tr>
        <w:trPr>
          <w:trHeight w:val="353" w:hRule="atLeast"/>
        </w:trPr>
        <w:tc>
          <w:tcPr>
            <w:tcW w:w="3232" w:type="dxa"/>
          </w:tcPr>
          <w:p>
            <w:pPr>
              <w:pStyle w:val="TableParagraph"/>
              <w:rPr>
                <w:sz w:val="18"/>
              </w:rPr>
            </w:pPr>
          </w:p>
        </w:tc>
        <w:tc>
          <w:tcPr>
            <w:tcW w:w="1077" w:type="dxa"/>
          </w:tcPr>
          <w:p>
            <w:pPr>
              <w:pStyle w:val="TableParagraph"/>
              <w:spacing w:line="221" w:lineRule="exact" w:before="112"/>
              <w:ind w:left="336" w:right="363"/>
              <w:jc w:val="center"/>
              <w:rPr>
                <w:b/>
                <w:sz w:val="21"/>
              </w:rPr>
            </w:pPr>
            <w:r>
              <w:rPr>
                <w:b/>
                <w:color w:val="231F20"/>
                <w:sz w:val="21"/>
              </w:rPr>
              <w:t>Yes</w:t>
            </w:r>
          </w:p>
        </w:tc>
        <w:tc>
          <w:tcPr>
            <w:tcW w:w="938" w:type="dxa"/>
          </w:tcPr>
          <w:p>
            <w:pPr>
              <w:pStyle w:val="TableParagraph"/>
              <w:spacing w:line="221" w:lineRule="exact" w:before="112"/>
              <w:ind w:left="302" w:right="329"/>
              <w:jc w:val="center"/>
              <w:rPr>
                <w:b/>
                <w:sz w:val="21"/>
              </w:rPr>
            </w:pPr>
            <w:r>
              <w:rPr>
                <w:b/>
                <w:color w:val="231F20"/>
                <w:sz w:val="21"/>
              </w:rPr>
              <w:t>No</w:t>
            </w:r>
          </w:p>
        </w:tc>
        <w:tc>
          <w:tcPr>
            <w:tcW w:w="1149" w:type="dxa"/>
          </w:tcPr>
          <w:p>
            <w:pPr>
              <w:pStyle w:val="TableParagraph"/>
              <w:spacing w:line="221" w:lineRule="exact" w:before="112"/>
              <w:ind w:left="206"/>
              <w:rPr>
                <w:b/>
                <w:sz w:val="21"/>
              </w:rPr>
            </w:pPr>
            <w:r>
              <w:rPr>
                <w:b/>
                <w:color w:val="231F20"/>
                <w:sz w:val="21"/>
              </w:rPr>
              <w:t>Abstain</w:t>
            </w:r>
          </w:p>
        </w:tc>
        <w:tc>
          <w:tcPr>
            <w:tcW w:w="1240" w:type="dxa"/>
          </w:tcPr>
          <w:p>
            <w:pPr>
              <w:pStyle w:val="TableParagraph"/>
              <w:spacing w:line="221" w:lineRule="exact" w:before="112"/>
              <w:ind w:left="386"/>
              <w:rPr>
                <w:b/>
                <w:sz w:val="21"/>
              </w:rPr>
            </w:pPr>
            <w:r>
              <w:rPr>
                <w:b/>
                <w:color w:val="231F20"/>
                <w:sz w:val="21"/>
              </w:rPr>
              <w:t>Yes*</w:t>
            </w:r>
          </w:p>
        </w:tc>
        <w:tc>
          <w:tcPr>
            <w:tcW w:w="1144" w:type="dxa"/>
          </w:tcPr>
          <w:p>
            <w:pPr>
              <w:pStyle w:val="TableParagraph"/>
              <w:spacing w:before="77"/>
              <w:ind w:left="405" w:right="431"/>
              <w:jc w:val="center"/>
              <w:rPr>
                <w:b/>
                <w:sz w:val="21"/>
              </w:rPr>
            </w:pPr>
            <w:r>
              <w:rPr>
                <w:b/>
                <w:color w:val="231F20"/>
                <w:sz w:val="21"/>
              </w:rPr>
              <w:t>No</w:t>
            </w:r>
          </w:p>
        </w:tc>
      </w:tr>
      <w:tr>
        <w:trPr>
          <w:trHeight w:val="1555" w:hRule="atLeast"/>
        </w:trPr>
        <w:tc>
          <w:tcPr>
            <w:tcW w:w="3232" w:type="dxa"/>
          </w:tcPr>
          <w:p>
            <w:pPr>
              <w:pStyle w:val="TableParagraph"/>
              <w:spacing w:line="237" w:lineRule="auto" w:before="114"/>
              <w:ind w:left="102" w:right="128"/>
              <w:jc w:val="both"/>
              <w:rPr>
                <w:sz w:val="21"/>
              </w:rPr>
            </w:pPr>
            <w:r>
              <w:rPr>
                <w:b/>
                <w:color w:val="231F20"/>
                <w:sz w:val="21"/>
              </w:rPr>
              <w:t>Proposal 1 </w:t>
            </w:r>
            <w:r>
              <w:rPr>
                <w:color w:val="231F20"/>
                <w:sz w:val="21"/>
              </w:rPr>
              <w:t>– </w:t>
            </w:r>
            <w:r>
              <w:rPr>
                <w:color w:val="231F20"/>
                <w:sz w:val="20"/>
              </w:rPr>
              <w:t>To </w:t>
            </w:r>
            <w:r>
              <w:rPr>
                <w:color w:val="231F20"/>
                <w:sz w:val="21"/>
              </w:rPr>
              <w:t>amend </w:t>
            </w:r>
            <w:r>
              <w:rPr>
                <w:color w:val="231F20"/>
                <w:spacing w:val="-5"/>
                <w:sz w:val="21"/>
              </w:rPr>
              <w:t>the </w:t>
            </w:r>
            <w:r>
              <w:rPr>
                <w:color w:val="231F20"/>
                <w:sz w:val="21"/>
              </w:rPr>
              <w:t>Company’s Articles of Association to</w:t>
            </w:r>
            <w:r>
              <w:rPr>
                <w:color w:val="231F20"/>
                <w:spacing w:val="-12"/>
                <w:sz w:val="21"/>
              </w:rPr>
              <w:t> </w:t>
            </w:r>
            <w:r>
              <w:rPr>
                <w:color w:val="231F20"/>
                <w:sz w:val="21"/>
              </w:rPr>
              <w:t>increase</w:t>
            </w:r>
            <w:r>
              <w:rPr>
                <w:color w:val="231F20"/>
                <w:spacing w:val="-11"/>
                <w:sz w:val="21"/>
              </w:rPr>
              <w:t> </w:t>
            </w:r>
            <w:r>
              <w:rPr>
                <w:color w:val="231F20"/>
                <w:sz w:val="21"/>
              </w:rPr>
              <w:t>the</w:t>
            </w:r>
            <w:r>
              <w:rPr>
                <w:color w:val="231F20"/>
                <w:spacing w:val="-11"/>
                <w:sz w:val="21"/>
              </w:rPr>
              <w:t> </w:t>
            </w:r>
            <w:r>
              <w:rPr>
                <w:color w:val="231F20"/>
                <w:sz w:val="21"/>
              </w:rPr>
              <w:t>maximum</w:t>
            </w:r>
            <w:r>
              <w:rPr>
                <w:color w:val="231F20"/>
                <w:spacing w:val="-11"/>
                <w:sz w:val="21"/>
              </w:rPr>
              <w:t> </w:t>
            </w:r>
            <w:r>
              <w:rPr>
                <w:color w:val="231F20"/>
                <w:sz w:val="21"/>
              </w:rPr>
              <w:t>number</w:t>
            </w:r>
            <w:r>
              <w:rPr>
                <w:color w:val="231F20"/>
                <w:spacing w:val="-11"/>
                <w:sz w:val="21"/>
              </w:rPr>
              <w:t> </w:t>
            </w:r>
            <w:r>
              <w:rPr>
                <w:color w:val="231F20"/>
                <w:sz w:val="21"/>
              </w:rPr>
              <w:t>of directors who can serve on the Board</w:t>
            </w:r>
            <w:r>
              <w:rPr>
                <w:color w:val="231F20"/>
                <w:spacing w:val="-7"/>
                <w:sz w:val="21"/>
              </w:rPr>
              <w:t> </w:t>
            </w:r>
            <w:r>
              <w:rPr>
                <w:color w:val="231F20"/>
                <w:sz w:val="21"/>
              </w:rPr>
              <w:t>at</w:t>
            </w:r>
            <w:r>
              <w:rPr>
                <w:color w:val="231F20"/>
                <w:spacing w:val="-6"/>
                <w:sz w:val="21"/>
              </w:rPr>
              <w:t> </w:t>
            </w:r>
            <w:r>
              <w:rPr>
                <w:color w:val="231F20"/>
                <w:sz w:val="21"/>
              </w:rPr>
              <w:t>any</w:t>
            </w:r>
            <w:r>
              <w:rPr>
                <w:color w:val="231F20"/>
                <w:spacing w:val="-7"/>
                <w:sz w:val="21"/>
              </w:rPr>
              <w:t> </w:t>
            </w:r>
            <w:r>
              <w:rPr>
                <w:color w:val="231F20"/>
                <w:sz w:val="21"/>
              </w:rPr>
              <w:t>one</w:t>
            </w:r>
            <w:r>
              <w:rPr>
                <w:color w:val="231F20"/>
                <w:spacing w:val="-6"/>
                <w:sz w:val="21"/>
              </w:rPr>
              <w:t> </w:t>
            </w:r>
            <w:r>
              <w:rPr>
                <w:color w:val="231F20"/>
                <w:sz w:val="21"/>
              </w:rPr>
              <w:t>time</w:t>
            </w:r>
            <w:r>
              <w:rPr>
                <w:color w:val="231F20"/>
                <w:spacing w:val="-6"/>
                <w:sz w:val="21"/>
              </w:rPr>
              <w:t> </w:t>
            </w:r>
            <w:r>
              <w:rPr>
                <w:color w:val="231F20"/>
                <w:sz w:val="21"/>
              </w:rPr>
              <w:t>from</w:t>
            </w:r>
            <w:r>
              <w:rPr>
                <w:color w:val="231F20"/>
                <w:spacing w:val="-7"/>
                <w:sz w:val="21"/>
              </w:rPr>
              <w:t> </w:t>
            </w:r>
            <w:r>
              <w:rPr>
                <w:color w:val="231F20"/>
                <w:sz w:val="21"/>
              </w:rPr>
              <w:t>nine</w:t>
            </w:r>
            <w:r>
              <w:rPr>
                <w:color w:val="231F20"/>
                <w:spacing w:val="-6"/>
                <w:sz w:val="21"/>
              </w:rPr>
              <w:t> </w:t>
            </w:r>
            <w:r>
              <w:rPr>
                <w:color w:val="231F20"/>
                <w:sz w:val="21"/>
              </w:rPr>
              <w:t>(9)</w:t>
            </w:r>
          </w:p>
          <w:p>
            <w:pPr>
              <w:pStyle w:val="TableParagraph"/>
              <w:spacing w:line="221" w:lineRule="exact" w:before="4"/>
              <w:ind w:left="102"/>
              <w:jc w:val="both"/>
              <w:rPr>
                <w:sz w:val="21"/>
              </w:rPr>
            </w:pPr>
            <w:r>
              <w:rPr>
                <w:color w:val="231F20"/>
                <w:sz w:val="21"/>
              </w:rPr>
              <w:t>to ten (10).</w:t>
            </w:r>
          </w:p>
        </w:tc>
        <w:tc>
          <w:tcPr>
            <w:tcW w:w="1077" w:type="dxa"/>
          </w:tcPr>
          <w:p>
            <w:pPr>
              <w:pStyle w:val="TableParagraph"/>
              <w:rPr>
                <w:sz w:val="18"/>
              </w:rPr>
            </w:pPr>
          </w:p>
        </w:tc>
        <w:tc>
          <w:tcPr>
            <w:tcW w:w="938" w:type="dxa"/>
          </w:tcPr>
          <w:p>
            <w:pPr>
              <w:pStyle w:val="TableParagraph"/>
              <w:rPr>
                <w:sz w:val="18"/>
              </w:rPr>
            </w:pPr>
          </w:p>
        </w:tc>
        <w:tc>
          <w:tcPr>
            <w:tcW w:w="1149" w:type="dxa"/>
          </w:tcPr>
          <w:p>
            <w:pPr>
              <w:pStyle w:val="TableParagraph"/>
              <w:rPr>
                <w:sz w:val="18"/>
              </w:rPr>
            </w:pPr>
          </w:p>
        </w:tc>
        <w:tc>
          <w:tcPr>
            <w:tcW w:w="1240" w:type="dxa"/>
          </w:tcPr>
          <w:p>
            <w:pPr>
              <w:pStyle w:val="TableParagraph"/>
              <w:rPr>
                <w:sz w:val="18"/>
              </w:rPr>
            </w:pPr>
          </w:p>
        </w:tc>
        <w:tc>
          <w:tcPr>
            <w:tcW w:w="1144" w:type="dxa"/>
          </w:tcPr>
          <w:p>
            <w:pPr>
              <w:pStyle w:val="TableParagraph"/>
              <w:rPr>
                <w:sz w:val="18"/>
              </w:rPr>
            </w:pPr>
          </w:p>
        </w:tc>
      </w:tr>
      <w:tr>
        <w:trPr>
          <w:trHeight w:val="4253" w:hRule="atLeast"/>
        </w:trPr>
        <w:tc>
          <w:tcPr>
            <w:tcW w:w="3232" w:type="dxa"/>
          </w:tcPr>
          <w:p>
            <w:pPr>
              <w:pStyle w:val="TableParagraph"/>
              <w:spacing w:before="112"/>
              <w:ind w:left="102" w:right="128"/>
              <w:jc w:val="both"/>
              <w:rPr>
                <w:sz w:val="20"/>
              </w:rPr>
            </w:pPr>
            <w:r>
              <w:rPr>
                <w:b/>
                <w:color w:val="231F20"/>
                <w:sz w:val="21"/>
              </w:rPr>
              <w:t>Proposal 2 </w:t>
            </w:r>
            <w:r>
              <w:rPr>
                <w:color w:val="231F20"/>
                <w:sz w:val="21"/>
              </w:rPr>
              <w:t>– </w:t>
            </w:r>
            <w:r>
              <w:rPr>
                <w:color w:val="231F20"/>
                <w:sz w:val="20"/>
              </w:rPr>
              <w:t>To reelect the Company’s six current </w:t>
            </w:r>
            <w:r>
              <w:rPr>
                <w:color w:val="231F20"/>
                <w:spacing w:val="-3"/>
                <w:sz w:val="20"/>
              </w:rPr>
              <w:t>directors </w:t>
            </w:r>
            <w:r>
              <w:rPr>
                <w:color w:val="231F20"/>
                <w:sz w:val="20"/>
              </w:rPr>
              <w:t>(excluding its two external directors, whose</w:t>
            </w:r>
            <w:r>
              <w:rPr>
                <w:color w:val="231F20"/>
                <w:spacing w:val="-10"/>
                <w:sz w:val="20"/>
              </w:rPr>
              <w:t> </w:t>
            </w:r>
            <w:r>
              <w:rPr>
                <w:color w:val="231F20"/>
                <w:sz w:val="20"/>
              </w:rPr>
              <w:t>terms</w:t>
            </w:r>
            <w:r>
              <w:rPr>
                <w:color w:val="231F20"/>
                <w:spacing w:val="-10"/>
                <w:sz w:val="20"/>
              </w:rPr>
              <w:t> </w:t>
            </w:r>
            <w:r>
              <w:rPr>
                <w:color w:val="231F20"/>
                <w:sz w:val="20"/>
              </w:rPr>
              <w:t>of</w:t>
            </w:r>
            <w:r>
              <w:rPr>
                <w:color w:val="231F20"/>
                <w:spacing w:val="-10"/>
                <w:sz w:val="20"/>
              </w:rPr>
              <w:t> </w:t>
            </w:r>
            <w:r>
              <w:rPr>
                <w:color w:val="231F20"/>
                <w:sz w:val="20"/>
              </w:rPr>
              <w:t>office</w:t>
            </w:r>
            <w:r>
              <w:rPr>
                <w:color w:val="231F20"/>
                <w:spacing w:val="-10"/>
                <w:sz w:val="20"/>
              </w:rPr>
              <w:t> </w:t>
            </w:r>
            <w:r>
              <w:rPr>
                <w:color w:val="231F20"/>
                <w:sz w:val="20"/>
              </w:rPr>
              <w:t>are</w:t>
            </w:r>
            <w:r>
              <w:rPr>
                <w:color w:val="231F20"/>
                <w:spacing w:val="-10"/>
                <w:sz w:val="20"/>
              </w:rPr>
              <w:t> </w:t>
            </w:r>
            <w:r>
              <w:rPr>
                <w:color w:val="231F20"/>
                <w:sz w:val="20"/>
              </w:rPr>
              <w:t>not</w:t>
            </w:r>
            <w:r>
              <w:rPr>
                <w:color w:val="231F20"/>
                <w:spacing w:val="-9"/>
                <w:sz w:val="20"/>
              </w:rPr>
              <w:t> </w:t>
            </w:r>
            <w:r>
              <w:rPr>
                <w:color w:val="231F20"/>
                <w:spacing w:val="-3"/>
                <w:sz w:val="20"/>
              </w:rPr>
              <w:t>expiring </w:t>
            </w:r>
            <w:r>
              <w:rPr>
                <w:color w:val="231F20"/>
                <w:sz w:val="20"/>
              </w:rPr>
              <w:t>at</w:t>
            </w:r>
            <w:r>
              <w:rPr>
                <w:color w:val="231F20"/>
                <w:spacing w:val="-8"/>
                <w:sz w:val="20"/>
              </w:rPr>
              <w:t> </w:t>
            </w:r>
            <w:r>
              <w:rPr>
                <w:color w:val="231F20"/>
                <w:sz w:val="20"/>
              </w:rPr>
              <w:t>the</w:t>
            </w:r>
            <w:r>
              <w:rPr>
                <w:color w:val="231F20"/>
                <w:spacing w:val="-7"/>
                <w:sz w:val="20"/>
              </w:rPr>
              <w:t> </w:t>
            </w:r>
            <w:r>
              <w:rPr>
                <w:color w:val="231F20"/>
                <w:sz w:val="20"/>
              </w:rPr>
              <w:t>Meeting</w:t>
            </w:r>
            <w:r>
              <w:rPr>
                <w:color w:val="231F20"/>
                <w:spacing w:val="-7"/>
                <w:sz w:val="20"/>
              </w:rPr>
              <w:t> </w:t>
            </w:r>
            <w:r>
              <w:rPr>
                <w:color w:val="231F20"/>
                <w:sz w:val="20"/>
              </w:rPr>
              <w:t>and</w:t>
            </w:r>
            <w:r>
              <w:rPr>
                <w:color w:val="231F20"/>
                <w:spacing w:val="-7"/>
                <w:sz w:val="20"/>
              </w:rPr>
              <w:t> </w:t>
            </w:r>
            <w:r>
              <w:rPr>
                <w:color w:val="231F20"/>
                <w:sz w:val="20"/>
              </w:rPr>
              <w:t>who</w:t>
            </w:r>
            <w:r>
              <w:rPr>
                <w:color w:val="231F20"/>
                <w:spacing w:val="-7"/>
                <w:sz w:val="20"/>
              </w:rPr>
              <w:t> </w:t>
            </w:r>
            <w:r>
              <w:rPr>
                <w:color w:val="231F20"/>
                <w:sz w:val="20"/>
              </w:rPr>
              <w:t>are</w:t>
            </w:r>
            <w:r>
              <w:rPr>
                <w:color w:val="231F20"/>
                <w:spacing w:val="-7"/>
                <w:sz w:val="20"/>
              </w:rPr>
              <w:t> </w:t>
            </w:r>
            <w:r>
              <w:rPr>
                <w:color w:val="231F20"/>
                <w:sz w:val="20"/>
              </w:rPr>
              <w:t>not</w:t>
            </w:r>
            <w:r>
              <w:rPr>
                <w:color w:val="231F20"/>
                <w:spacing w:val="-8"/>
                <w:sz w:val="20"/>
              </w:rPr>
              <w:t> </w:t>
            </w:r>
            <w:r>
              <w:rPr>
                <w:color w:val="231F20"/>
                <w:sz w:val="20"/>
              </w:rPr>
              <w:t>up</w:t>
            </w:r>
            <w:r>
              <w:rPr>
                <w:color w:val="231F20"/>
                <w:spacing w:val="-7"/>
                <w:sz w:val="20"/>
              </w:rPr>
              <w:t> </w:t>
            </w:r>
            <w:r>
              <w:rPr>
                <w:color w:val="231F20"/>
                <w:sz w:val="20"/>
              </w:rPr>
              <w:t>for reelection at the Meeting), each as a member of the board of directors of the Company, to serve until the next annual meeting of shareholders and until his or her successor has </w:t>
            </w:r>
            <w:r>
              <w:rPr>
                <w:color w:val="231F20"/>
                <w:spacing w:val="-3"/>
                <w:sz w:val="20"/>
              </w:rPr>
              <w:t>been </w:t>
            </w:r>
            <w:r>
              <w:rPr>
                <w:color w:val="231F20"/>
                <w:sz w:val="20"/>
              </w:rPr>
              <w:t>duly elected and qualified or until </w:t>
            </w:r>
            <w:r>
              <w:rPr>
                <w:color w:val="231F20"/>
                <w:spacing w:val="-5"/>
                <w:sz w:val="20"/>
              </w:rPr>
              <w:t>his </w:t>
            </w:r>
            <w:r>
              <w:rPr>
                <w:color w:val="231F20"/>
                <w:sz w:val="20"/>
              </w:rPr>
              <w:t>or her office is vacated in accordance with the Company’s Articles </w:t>
            </w:r>
            <w:r>
              <w:rPr>
                <w:color w:val="231F20"/>
                <w:spacing w:val="-7"/>
                <w:sz w:val="20"/>
              </w:rPr>
              <w:t>of </w:t>
            </w:r>
            <w:r>
              <w:rPr>
                <w:color w:val="231F20"/>
                <w:sz w:val="20"/>
              </w:rPr>
              <w:t>Association or the Israel Companies Law, 5759-1999 (a separate vote </w:t>
            </w:r>
            <w:r>
              <w:rPr>
                <w:color w:val="231F20"/>
                <w:spacing w:val="-4"/>
                <w:sz w:val="20"/>
              </w:rPr>
              <w:t>will </w:t>
            </w:r>
            <w:r>
              <w:rPr>
                <w:color w:val="231F20"/>
                <w:sz w:val="20"/>
              </w:rPr>
              <w:t>be</w:t>
            </w:r>
            <w:r>
              <w:rPr>
                <w:color w:val="231F20"/>
                <w:spacing w:val="-13"/>
                <w:sz w:val="20"/>
              </w:rPr>
              <w:t> </w:t>
            </w:r>
            <w:r>
              <w:rPr>
                <w:color w:val="231F20"/>
                <w:sz w:val="20"/>
              </w:rPr>
              <w:t>conducted</w:t>
            </w:r>
            <w:r>
              <w:rPr>
                <w:color w:val="231F20"/>
                <w:spacing w:val="-13"/>
                <w:sz w:val="20"/>
              </w:rPr>
              <w:t> </w:t>
            </w:r>
            <w:r>
              <w:rPr>
                <w:color w:val="231F20"/>
                <w:sz w:val="20"/>
              </w:rPr>
              <w:t>with</w:t>
            </w:r>
            <w:r>
              <w:rPr>
                <w:color w:val="231F20"/>
                <w:spacing w:val="-13"/>
                <w:sz w:val="20"/>
              </w:rPr>
              <w:t> </w:t>
            </w:r>
            <w:r>
              <w:rPr>
                <w:color w:val="231F20"/>
                <w:sz w:val="20"/>
              </w:rPr>
              <w:t>respect</w:t>
            </w:r>
            <w:r>
              <w:rPr>
                <w:color w:val="231F20"/>
                <w:spacing w:val="-13"/>
                <w:sz w:val="20"/>
              </w:rPr>
              <w:t> </w:t>
            </w:r>
            <w:r>
              <w:rPr>
                <w:color w:val="231F20"/>
                <w:sz w:val="20"/>
              </w:rPr>
              <w:t>to</w:t>
            </w:r>
            <w:r>
              <w:rPr>
                <w:color w:val="231F20"/>
                <w:spacing w:val="-12"/>
                <w:sz w:val="20"/>
              </w:rPr>
              <w:t> </w:t>
            </w:r>
            <w:r>
              <w:rPr>
                <w:color w:val="231F20"/>
                <w:sz w:val="20"/>
              </w:rPr>
              <w:t>approval of</w:t>
            </w:r>
            <w:r>
              <w:rPr>
                <w:color w:val="231F20"/>
                <w:spacing w:val="23"/>
                <w:sz w:val="20"/>
              </w:rPr>
              <w:t> </w:t>
            </w:r>
            <w:r>
              <w:rPr>
                <w:color w:val="231F20"/>
                <w:sz w:val="20"/>
              </w:rPr>
              <w:t>the</w:t>
            </w:r>
            <w:r>
              <w:rPr>
                <w:color w:val="231F20"/>
                <w:spacing w:val="24"/>
                <w:sz w:val="20"/>
              </w:rPr>
              <w:t> </w:t>
            </w:r>
            <w:r>
              <w:rPr>
                <w:color w:val="231F20"/>
                <w:sz w:val="20"/>
              </w:rPr>
              <w:t>resolution</w:t>
            </w:r>
            <w:r>
              <w:rPr>
                <w:color w:val="231F20"/>
                <w:spacing w:val="24"/>
                <w:sz w:val="20"/>
              </w:rPr>
              <w:t> </w:t>
            </w:r>
            <w:r>
              <w:rPr>
                <w:color w:val="231F20"/>
                <w:sz w:val="20"/>
              </w:rPr>
              <w:t>for</w:t>
            </w:r>
            <w:r>
              <w:rPr>
                <w:color w:val="231F20"/>
                <w:spacing w:val="24"/>
                <w:sz w:val="20"/>
              </w:rPr>
              <w:t> </w:t>
            </w:r>
            <w:r>
              <w:rPr>
                <w:color w:val="231F20"/>
                <w:sz w:val="20"/>
              </w:rPr>
              <w:t>each</w:t>
            </w:r>
            <w:r>
              <w:rPr>
                <w:color w:val="231F20"/>
                <w:spacing w:val="23"/>
                <w:sz w:val="20"/>
              </w:rPr>
              <w:t> </w:t>
            </w:r>
            <w:r>
              <w:rPr>
                <w:color w:val="231F20"/>
                <w:sz w:val="20"/>
              </w:rPr>
              <w:t>of</w:t>
            </w:r>
            <w:r>
              <w:rPr>
                <w:color w:val="231F20"/>
                <w:spacing w:val="24"/>
                <w:sz w:val="20"/>
              </w:rPr>
              <w:t> </w:t>
            </w:r>
            <w:r>
              <w:rPr>
                <w:color w:val="231F20"/>
                <w:sz w:val="20"/>
              </w:rPr>
              <w:t>the</w:t>
            </w:r>
          </w:p>
          <w:p>
            <w:pPr>
              <w:pStyle w:val="TableParagraph"/>
              <w:spacing w:line="200" w:lineRule="exact"/>
              <w:ind w:left="102"/>
              <w:rPr>
                <w:sz w:val="20"/>
              </w:rPr>
            </w:pPr>
            <w:r>
              <w:rPr>
                <w:color w:val="231F20"/>
                <w:sz w:val="20"/>
              </w:rPr>
              <w:t>director-nominees):</w:t>
            </w:r>
          </w:p>
        </w:tc>
        <w:tc>
          <w:tcPr>
            <w:tcW w:w="1077" w:type="dxa"/>
          </w:tcPr>
          <w:p>
            <w:pPr>
              <w:pStyle w:val="TableParagraph"/>
              <w:rPr>
                <w:sz w:val="18"/>
              </w:rPr>
            </w:pPr>
          </w:p>
        </w:tc>
        <w:tc>
          <w:tcPr>
            <w:tcW w:w="938" w:type="dxa"/>
          </w:tcPr>
          <w:p>
            <w:pPr>
              <w:pStyle w:val="TableParagraph"/>
              <w:rPr>
                <w:sz w:val="18"/>
              </w:rPr>
            </w:pPr>
          </w:p>
        </w:tc>
        <w:tc>
          <w:tcPr>
            <w:tcW w:w="1149" w:type="dxa"/>
          </w:tcPr>
          <w:p>
            <w:pPr>
              <w:pStyle w:val="TableParagraph"/>
              <w:rPr>
                <w:sz w:val="18"/>
              </w:rPr>
            </w:pPr>
          </w:p>
        </w:tc>
        <w:tc>
          <w:tcPr>
            <w:tcW w:w="1240" w:type="dxa"/>
          </w:tcPr>
          <w:p>
            <w:pPr>
              <w:pStyle w:val="TableParagraph"/>
              <w:rPr>
                <w:sz w:val="18"/>
              </w:rPr>
            </w:pPr>
          </w:p>
        </w:tc>
        <w:tc>
          <w:tcPr>
            <w:tcW w:w="1144" w:type="dxa"/>
          </w:tcPr>
          <w:p>
            <w:pPr>
              <w:pStyle w:val="TableParagraph"/>
              <w:rPr>
                <w:sz w:val="18"/>
              </w:rPr>
            </w:pPr>
          </w:p>
        </w:tc>
      </w:tr>
      <w:tr>
        <w:trPr>
          <w:trHeight w:val="354" w:hRule="atLeast"/>
        </w:trPr>
        <w:tc>
          <w:tcPr>
            <w:tcW w:w="3232" w:type="dxa"/>
          </w:tcPr>
          <w:p>
            <w:pPr>
              <w:pStyle w:val="TableParagraph"/>
              <w:spacing w:line="221" w:lineRule="exact" w:before="113"/>
              <w:ind w:left="427"/>
              <w:rPr>
                <w:sz w:val="21"/>
              </w:rPr>
            </w:pPr>
            <w:r>
              <w:rPr>
                <w:color w:val="231F20"/>
                <w:sz w:val="21"/>
              </w:rPr>
              <w:t>(1) Mr. Yariv Alroy</w:t>
            </w:r>
          </w:p>
        </w:tc>
        <w:tc>
          <w:tcPr>
            <w:tcW w:w="1077" w:type="dxa"/>
          </w:tcPr>
          <w:p>
            <w:pPr>
              <w:pStyle w:val="TableParagraph"/>
              <w:rPr>
                <w:sz w:val="18"/>
              </w:rPr>
            </w:pPr>
          </w:p>
        </w:tc>
        <w:tc>
          <w:tcPr>
            <w:tcW w:w="938" w:type="dxa"/>
          </w:tcPr>
          <w:p>
            <w:pPr>
              <w:pStyle w:val="TableParagraph"/>
              <w:rPr>
                <w:sz w:val="18"/>
              </w:rPr>
            </w:pPr>
          </w:p>
        </w:tc>
        <w:tc>
          <w:tcPr>
            <w:tcW w:w="1149" w:type="dxa"/>
          </w:tcPr>
          <w:p>
            <w:pPr>
              <w:pStyle w:val="TableParagraph"/>
              <w:rPr>
                <w:sz w:val="18"/>
              </w:rPr>
            </w:pPr>
          </w:p>
        </w:tc>
        <w:tc>
          <w:tcPr>
            <w:tcW w:w="1240" w:type="dxa"/>
          </w:tcPr>
          <w:p>
            <w:pPr>
              <w:pStyle w:val="TableParagraph"/>
              <w:rPr>
                <w:sz w:val="18"/>
              </w:rPr>
            </w:pPr>
          </w:p>
        </w:tc>
        <w:tc>
          <w:tcPr>
            <w:tcW w:w="1144" w:type="dxa"/>
          </w:tcPr>
          <w:p>
            <w:pPr>
              <w:pStyle w:val="TableParagraph"/>
              <w:rPr>
                <w:sz w:val="18"/>
              </w:rPr>
            </w:pPr>
          </w:p>
        </w:tc>
      </w:tr>
      <w:tr>
        <w:trPr>
          <w:trHeight w:val="353" w:hRule="atLeast"/>
        </w:trPr>
        <w:tc>
          <w:tcPr>
            <w:tcW w:w="3232" w:type="dxa"/>
          </w:tcPr>
          <w:p>
            <w:pPr>
              <w:pStyle w:val="TableParagraph"/>
              <w:spacing w:line="221" w:lineRule="exact" w:before="112"/>
              <w:ind w:left="427"/>
              <w:rPr>
                <w:sz w:val="21"/>
              </w:rPr>
            </w:pPr>
            <w:r>
              <w:rPr>
                <w:color w:val="231F20"/>
                <w:sz w:val="21"/>
              </w:rPr>
              <w:t>(2) Mr. Ehud Barak</w:t>
            </w:r>
          </w:p>
        </w:tc>
        <w:tc>
          <w:tcPr>
            <w:tcW w:w="1077" w:type="dxa"/>
          </w:tcPr>
          <w:p>
            <w:pPr>
              <w:pStyle w:val="TableParagraph"/>
              <w:rPr>
                <w:sz w:val="18"/>
              </w:rPr>
            </w:pPr>
          </w:p>
        </w:tc>
        <w:tc>
          <w:tcPr>
            <w:tcW w:w="938" w:type="dxa"/>
          </w:tcPr>
          <w:p>
            <w:pPr>
              <w:pStyle w:val="TableParagraph"/>
              <w:rPr>
                <w:sz w:val="18"/>
              </w:rPr>
            </w:pPr>
          </w:p>
        </w:tc>
        <w:tc>
          <w:tcPr>
            <w:tcW w:w="1149" w:type="dxa"/>
          </w:tcPr>
          <w:p>
            <w:pPr>
              <w:pStyle w:val="TableParagraph"/>
              <w:rPr>
                <w:sz w:val="18"/>
              </w:rPr>
            </w:pPr>
          </w:p>
        </w:tc>
        <w:tc>
          <w:tcPr>
            <w:tcW w:w="1240" w:type="dxa"/>
          </w:tcPr>
          <w:p>
            <w:pPr>
              <w:pStyle w:val="TableParagraph"/>
              <w:rPr>
                <w:sz w:val="18"/>
              </w:rPr>
            </w:pPr>
          </w:p>
        </w:tc>
        <w:tc>
          <w:tcPr>
            <w:tcW w:w="1144" w:type="dxa"/>
          </w:tcPr>
          <w:p>
            <w:pPr>
              <w:pStyle w:val="TableParagraph"/>
              <w:rPr>
                <w:sz w:val="18"/>
              </w:rPr>
            </w:pPr>
          </w:p>
        </w:tc>
      </w:tr>
      <w:tr>
        <w:trPr>
          <w:trHeight w:val="353" w:hRule="atLeast"/>
        </w:trPr>
        <w:tc>
          <w:tcPr>
            <w:tcW w:w="3232" w:type="dxa"/>
          </w:tcPr>
          <w:p>
            <w:pPr>
              <w:pStyle w:val="TableParagraph"/>
              <w:spacing w:line="221" w:lineRule="exact" w:before="112"/>
              <w:ind w:left="427"/>
              <w:rPr>
                <w:sz w:val="21"/>
              </w:rPr>
            </w:pPr>
            <w:r>
              <w:rPr>
                <w:color w:val="231F20"/>
                <w:sz w:val="21"/>
              </w:rPr>
              <w:t>(3) Mr. David Salton</w:t>
            </w:r>
          </w:p>
        </w:tc>
        <w:tc>
          <w:tcPr>
            <w:tcW w:w="1077" w:type="dxa"/>
          </w:tcPr>
          <w:p>
            <w:pPr>
              <w:pStyle w:val="TableParagraph"/>
              <w:rPr>
                <w:sz w:val="18"/>
              </w:rPr>
            </w:pPr>
          </w:p>
        </w:tc>
        <w:tc>
          <w:tcPr>
            <w:tcW w:w="938" w:type="dxa"/>
          </w:tcPr>
          <w:p>
            <w:pPr>
              <w:pStyle w:val="TableParagraph"/>
              <w:rPr>
                <w:sz w:val="18"/>
              </w:rPr>
            </w:pPr>
          </w:p>
        </w:tc>
        <w:tc>
          <w:tcPr>
            <w:tcW w:w="1149" w:type="dxa"/>
          </w:tcPr>
          <w:p>
            <w:pPr>
              <w:pStyle w:val="TableParagraph"/>
              <w:rPr>
                <w:sz w:val="18"/>
              </w:rPr>
            </w:pPr>
          </w:p>
        </w:tc>
        <w:tc>
          <w:tcPr>
            <w:tcW w:w="1240" w:type="dxa"/>
          </w:tcPr>
          <w:p>
            <w:pPr>
              <w:pStyle w:val="TableParagraph"/>
              <w:rPr>
                <w:sz w:val="18"/>
              </w:rPr>
            </w:pPr>
          </w:p>
        </w:tc>
        <w:tc>
          <w:tcPr>
            <w:tcW w:w="1144" w:type="dxa"/>
          </w:tcPr>
          <w:p>
            <w:pPr>
              <w:pStyle w:val="TableParagraph"/>
              <w:rPr>
                <w:sz w:val="18"/>
              </w:rPr>
            </w:pPr>
          </w:p>
        </w:tc>
      </w:tr>
      <w:tr>
        <w:trPr>
          <w:trHeight w:val="353" w:hRule="atLeast"/>
        </w:trPr>
        <w:tc>
          <w:tcPr>
            <w:tcW w:w="3232" w:type="dxa"/>
          </w:tcPr>
          <w:p>
            <w:pPr>
              <w:pStyle w:val="TableParagraph"/>
              <w:spacing w:line="221" w:lineRule="exact" w:before="112"/>
              <w:ind w:left="427"/>
              <w:rPr>
                <w:sz w:val="21"/>
              </w:rPr>
            </w:pPr>
            <w:r>
              <w:rPr>
                <w:color w:val="231F20"/>
                <w:sz w:val="21"/>
              </w:rPr>
              <w:t>(4) Mr. Erez Alroy</w:t>
            </w:r>
          </w:p>
        </w:tc>
        <w:tc>
          <w:tcPr>
            <w:tcW w:w="1077" w:type="dxa"/>
          </w:tcPr>
          <w:p>
            <w:pPr>
              <w:pStyle w:val="TableParagraph"/>
              <w:rPr>
                <w:sz w:val="18"/>
              </w:rPr>
            </w:pPr>
          </w:p>
        </w:tc>
        <w:tc>
          <w:tcPr>
            <w:tcW w:w="938" w:type="dxa"/>
          </w:tcPr>
          <w:p>
            <w:pPr>
              <w:pStyle w:val="TableParagraph"/>
              <w:rPr>
                <w:sz w:val="18"/>
              </w:rPr>
            </w:pPr>
          </w:p>
        </w:tc>
        <w:tc>
          <w:tcPr>
            <w:tcW w:w="1149" w:type="dxa"/>
          </w:tcPr>
          <w:p>
            <w:pPr>
              <w:pStyle w:val="TableParagraph"/>
              <w:rPr>
                <w:sz w:val="18"/>
              </w:rPr>
            </w:pPr>
          </w:p>
        </w:tc>
        <w:tc>
          <w:tcPr>
            <w:tcW w:w="1240" w:type="dxa"/>
          </w:tcPr>
          <w:p>
            <w:pPr>
              <w:pStyle w:val="TableParagraph"/>
              <w:rPr>
                <w:sz w:val="18"/>
              </w:rPr>
            </w:pPr>
          </w:p>
        </w:tc>
        <w:tc>
          <w:tcPr>
            <w:tcW w:w="1144" w:type="dxa"/>
          </w:tcPr>
          <w:p>
            <w:pPr>
              <w:pStyle w:val="TableParagraph"/>
              <w:rPr>
                <w:sz w:val="18"/>
              </w:rPr>
            </w:pPr>
          </w:p>
        </w:tc>
      </w:tr>
      <w:tr>
        <w:trPr>
          <w:trHeight w:val="353" w:hRule="atLeast"/>
        </w:trPr>
        <w:tc>
          <w:tcPr>
            <w:tcW w:w="3232" w:type="dxa"/>
          </w:tcPr>
          <w:p>
            <w:pPr>
              <w:pStyle w:val="TableParagraph"/>
              <w:spacing w:line="221" w:lineRule="exact" w:before="112"/>
              <w:ind w:left="427"/>
              <w:rPr>
                <w:sz w:val="21"/>
              </w:rPr>
            </w:pPr>
            <w:r>
              <w:rPr>
                <w:color w:val="231F20"/>
                <w:sz w:val="21"/>
              </w:rPr>
              <w:t>(5) Professor Amir Lerman</w:t>
            </w:r>
          </w:p>
        </w:tc>
        <w:tc>
          <w:tcPr>
            <w:tcW w:w="1077" w:type="dxa"/>
          </w:tcPr>
          <w:p>
            <w:pPr>
              <w:pStyle w:val="TableParagraph"/>
              <w:rPr>
                <w:sz w:val="18"/>
              </w:rPr>
            </w:pPr>
          </w:p>
        </w:tc>
        <w:tc>
          <w:tcPr>
            <w:tcW w:w="938" w:type="dxa"/>
          </w:tcPr>
          <w:p>
            <w:pPr>
              <w:pStyle w:val="TableParagraph"/>
              <w:rPr>
                <w:sz w:val="18"/>
              </w:rPr>
            </w:pPr>
          </w:p>
        </w:tc>
        <w:tc>
          <w:tcPr>
            <w:tcW w:w="1149" w:type="dxa"/>
          </w:tcPr>
          <w:p>
            <w:pPr>
              <w:pStyle w:val="TableParagraph"/>
              <w:rPr>
                <w:sz w:val="18"/>
              </w:rPr>
            </w:pPr>
          </w:p>
        </w:tc>
        <w:tc>
          <w:tcPr>
            <w:tcW w:w="1240" w:type="dxa"/>
          </w:tcPr>
          <w:p>
            <w:pPr>
              <w:pStyle w:val="TableParagraph"/>
              <w:rPr>
                <w:sz w:val="18"/>
              </w:rPr>
            </w:pPr>
          </w:p>
        </w:tc>
        <w:tc>
          <w:tcPr>
            <w:tcW w:w="1144" w:type="dxa"/>
          </w:tcPr>
          <w:p>
            <w:pPr>
              <w:pStyle w:val="TableParagraph"/>
              <w:rPr>
                <w:sz w:val="18"/>
              </w:rPr>
            </w:pPr>
          </w:p>
        </w:tc>
      </w:tr>
      <w:tr>
        <w:trPr>
          <w:trHeight w:val="353" w:hRule="atLeast"/>
        </w:trPr>
        <w:tc>
          <w:tcPr>
            <w:tcW w:w="3232" w:type="dxa"/>
          </w:tcPr>
          <w:p>
            <w:pPr>
              <w:pStyle w:val="TableParagraph"/>
              <w:spacing w:line="221" w:lineRule="exact" w:before="112"/>
              <w:ind w:left="427"/>
              <w:rPr>
                <w:sz w:val="21"/>
              </w:rPr>
            </w:pPr>
            <w:r>
              <w:rPr>
                <w:color w:val="231F20"/>
                <w:sz w:val="21"/>
              </w:rPr>
              <w:t>(6) Mr. Erez Nachtomy</w:t>
            </w:r>
          </w:p>
        </w:tc>
        <w:tc>
          <w:tcPr>
            <w:tcW w:w="1077" w:type="dxa"/>
          </w:tcPr>
          <w:p>
            <w:pPr>
              <w:pStyle w:val="TableParagraph"/>
              <w:rPr>
                <w:sz w:val="18"/>
              </w:rPr>
            </w:pPr>
          </w:p>
        </w:tc>
        <w:tc>
          <w:tcPr>
            <w:tcW w:w="938" w:type="dxa"/>
          </w:tcPr>
          <w:p>
            <w:pPr>
              <w:pStyle w:val="TableParagraph"/>
              <w:rPr>
                <w:sz w:val="18"/>
              </w:rPr>
            </w:pPr>
          </w:p>
        </w:tc>
        <w:tc>
          <w:tcPr>
            <w:tcW w:w="1149" w:type="dxa"/>
          </w:tcPr>
          <w:p>
            <w:pPr>
              <w:pStyle w:val="TableParagraph"/>
              <w:rPr>
                <w:sz w:val="18"/>
              </w:rPr>
            </w:pPr>
          </w:p>
        </w:tc>
        <w:tc>
          <w:tcPr>
            <w:tcW w:w="1240" w:type="dxa"/>
          </w:tcPr>
          <w:p>
            <w:pPr>
              <w:pStyle w:val="TableParagraph"/>
              <w:rPr>
                <w:sz w:val="18"/>
              </w:rPr>
            </w:pPr>
          </w:p>
        </w:tc>
        <w:tc>
          <w:tcPr>
            <w:tcW w:w="1144" w:type="dxa"/>
          </w:tcPr>
          <w:p>
            <w:pPr>
              <w:pStyle w:val="TableParagraph"/>
              <w:rPr>
                <w:sz w:val="18"/>
              </w:rPr>
            </w:pPr>
          </w:p>
        </w:tc>
      </w:tr>
      <w:tr>
        <w:trPr>
          <w:trHeight w:val="1730" w:hRule="atLeast"/>
        </w:trPr>
        <w:tc>
          <w:tcPr>
            <w:tcW w:w="3232" w:type="dxa"/>
          </w:tcPr>
          <w:p>
            <w:pPr>
              <w:pStyle w:val="TableParagraph"/>
              <w:spacing w:before="112"/>
              <w:ind w:left="102" w:right="128"/>
              <w:jc w:val="both"/>
              <w:rPr>
                <w:sz w:val="20"/>
              </w:rPr>
            </w:pPr>
            <w:r>
              <w:rPr>
                <w:b/>
                <w:color w:val="231F20"/>
                <w:sz w:val="21"/>
              </w:rPr>
              <w:t>Proposal 3 </w:t>
            </w:r>
            <w:r>
              <w:rPr>
                <w:color w:val="231F20"/>
                <w:sz w:val="21"/>
              </w:rPr>
              <w:t>– </w:t>
            </w:r>
            <w:r>
              <w:rPr>
                <w:color w:val="231F20"/>
                <w:sz w:val="20"/>
              </w:rPr>
              <w:t>To elect Ido</w:t>
            </w:r>
            <w:r>
              <w:rPr>
                <w:color w:val="231F20"/>
                <w:spacing w:val="-33"/>
                <w:sz w:val="20"/>
              </w:rPr>
              <w:t> </w:t>
            </w:r>
            <w:r>
              <w:rPr>
                <w:color w:val="231F20"/>
                <w:spacing w:val="-3"/>
                <w:sz w:val="20"/>
              </w:rPr>
              <w:t>Nouberger </w:t>
            </w:r>
            <w:r>
              <w:rPr>
                <w:color w:val="231F20"/>
                <w:sz w:val="20"/>
              </w:rPr>
              <w:t>as a member of the board of</w:t>
            </w:r>
            <w:r>
              <w:rPr>
                <w:color w:val="231F20"/>
                <w:spacing w:val="-21"/>
                <w:sz w:val="20"/>
              </w:rPr>
              <w:t> </w:t>
            </w:r>
            <w:r>
              <w:rPr>
                <w:color w:val="231F20"/>
                <w:sz w:val="20"/>
              </w:rPr>
              <w:t>directors of the Company, to serve until </w:t>
            </w:r>
            <w:r>
              <w:rPr>
                <w:color w:val="231F20"/>
                <w:spacing w:val="-4"/>
                <w:sz w:val="20"/>
              </w:rPr>
              <w:t>the </w:t>
            </w:r>
            <w:r>
              <w:rPr>
                <w:color w:val="231F20"/>
                <w:sz w:val="20"/>
              </w:rPr>
              <w:t>next annual meeting of </w:t>
            </w:r>
            <w:r>
              <w:rPr>
                <w:color w:val="231F20"/>
                <w:spacing w:val="-2"/>
                <w:sz w:val="20"/>
              </w:rPr>
              <w:t>shareholders </w:t>
            </w:r>
            <w:r>
              <w:rPr>
                <w:color w:val="231F20"/>
                <w:sz w:val="20"/>
              </w:rPr>
              <w:t>and until his successor has been duly elected   and   qualified   or   until</w:t>
            </w:r>
            <w:r>
              <w:rPr>
                <w:color w:val="231F20"/>
                <w:spacing w:val="4"/>
                <w:sz w:val="20"/>
              </w:rPr>
              <w:t> </w:t>
            </w:r>
            <w:r>
              <w:rPr>
                <w:color w:val="231F20"/>
                <w:spacing w:val="-5"/>
                <w:sz w:val="20"/>
              </w:rPr>
              <w:t>his</w:t>
            </w:r>
          </w:p>
          <w:p>
            <w:pPr>
              <w:pStyle w:val="TableParagraph"/>
              <w:spacing w:line="207" w:lineRule="exact"/>
              <w:ind w:left="102"/>
              <w:jc w:val="both"/>
              <w:rPr>
                <w:sz w:val="20"/>
              </w:rPr>
            </w:pPr>
            <w:r>
              <w:rPr>
                <w:color w:val="231F20"/>
                <w:sz w:val="20"/>
              </w:rPr>
              <w:t>office</w:t>
            </w:r>
            <w:r>
              <w:rPr>
                <w:color w:val="231F20"/>
                <w:spacing w:val="17"/>
                <w:sz w:val="20"/>
              </w:rPr>
              <w:t> </w:t>
            </w:r>
            <w:r>
              <w:rPr>
                <w:color w:val="231F20"/>
                <w:sz w:val="20"/>
              </w:rPr>
              <w:t>is</w:t>
            </w:r>
            <w:r>
              <w:rPr>
                <w:color w:val="231F20"/>
                <w:spacing w:val="18"/>
                <w:sz w:val="20"/>
              </w:rPr>
              <w:t> </w:t>
            </w:r>
            <w:r>
              <w:rPr>
                <w:color w:val="231F20"/>
                <w:sz w:val="20"/>
              </w:rPr>
              <w:t>vacated</w:t>
            </w:r>
            <w:r>
              <w:rPr>
                <w:color w:val="231F20"/>
                <w:spacing w:val="17"/>
                <w:sz w:val="20"/>
              </w:rPr>
              <w:t> </w:t>
            </w:r>
            <w:r>
              <w:rPr>
                <w:color w:val="231F20"/>
                <w:sz w:val="20"/>
              </w:rPr>
              <w:t>in</w:t>
            </w:r>
            <w:r>
              <w:rPr>
                <w:color w:val="231F20"/>
                <w:spacing w:val="18"/>
                <w:sz w:val="20"/>
              </w:rPr>
              <w:t> </w:t>
            </w:r>
            <w:r>
              <w:rPr>
                <w:color w:val="231F20"/>
                <w:sz w:val="20"/>
              </w:rPr>
              <w:t>accordance</w:t>
            </w:r>
            <w:r>
              <w:rPr>
                <w:color w:val="231F20"/>
                <w:spacing w:val="17"/>
                <w:sz w:val="20"/>
              </w:rPr>
              <w:t> </w:t>
            </w:r>
            <w:r>
              <w:rPr>
                <w:color w:val="231F20"/>
                <w:sz w:val="20"/>
              </w:rPr>
              <w:t>with</w:t>
            </w:r>
          </w:p>
        </w:tc>
        <w:tc>
          <w:tcPr>
            <w:tcW w:w="1077" w:type="dxa"/>
          </w:tcPr>
          <w:p>
            <w:pPr>
              <w:pStyle w:val="TableParagraph"/>
              <w:rPr>
                <w:sz w:val="18"/>
              </w:rPr>
            </w:pPr>
          </w:p>
        </w:tc>
        <w:tc>
          <w:tcPr>
            <w:tcW w:w="938" w:type="dxa"/>
          </w:tcPr>
          <w:p>
            <w:pPr>
              <w:pStyle w:val="TableParagraph"/>
              <w:rPr>
                <w:sz w:val="18"/>
              </w:rPr>
            </w:pPr>
          </w:p>
        </w:tc>
        <w:tc>
          <w:tcPr>
            <w:tcW w:w="1149" w:type="dxa"/>
          </w:tcPr>
          <w:p>
            <w:pPr>
              <w:pStyle w:val="TableParagraph"/>
              <w:rPr>
                <w:sz w:val="18"/>
              </w:rPr>
            </w:pPr>
          </w:p>
        </w:tc>
        <w:tc>
          <w:tcPr>
            <w:tcW w:w="1240" w:type="dxa"/>
          </w:tcPr>
          <w:p>
            <w:pPr>
              <w:pStyle w:val="TableParagraph"/>
              <w:rPr>
                <w:sz w:val="18"/>
              </w:rPr>
            </w:pPr>
          </w:p>
        </w:tc>
        <w:tc>
          <w:tcPr>
            <w:tcW w:w="1144" w:type="dxa"/>
          </w:tcPr>
          <w:p>
            <w:pPr>
              <w:pStyle w:val="TableParagraph"/>
              <w:rPr>
                <w:sz w:val="18"/>
              </w:rPr>
            </w:pPr>
          </w:p>
        </w:tc>
      </w:tr>
    </w:tbl>
    <w:p>
      <w:pPr>
        <w:pStyle w:val="BodyText"/>
        <w:spacing w:before="7"/>
        <w:rPr>
          <w:b/>
          <w:sz w:val="14"/>
        </w:rPr>
      </w:pPr>
      <w:r>
        <w:rPr/>
        <w:pict>
          <v:rect style="position:absolute;margin-left:74.719002pt;margin-top:10.38803pt;width:136.819pt;height:.57004pt;mso-position-horizontal-relative:page;mso-position-vertical-relative:paragraph;z-index:-15691264;mso-wrap-distance-left:0;mso-wrap-distance-right:0" filled="true" fillcolor="#231f20" stroked="false">
            <v:fill type="solid"/>
            <w10:wrap type="topAndBottom"/>
          </v:rect>
        </w:pict>
      </w:r>
    </w:p>
    <w:p>
      <w:pPr>
        <w:spacing w:before="83"/>
        <w:ind w:left="1194" w:right="0" w:firstLine="0"/>
        <w:jc w:val="left"/>
        <w:rPr>
          <w:sz w:val="19"/>
        </w:rPr>
      </w:pPr>
      <w:r>
        <w:rPr>
          <w:color w:val="231F20"/>
          <w:position w:val="7"/>
          <w:sz w:val="12"/>
        </w:rPr>
        <w:t>1 </w:t>
      </w:r>
      <w:r>
        <w:rPr>
          <w:color w:val="231F20"/>
          <w:sz w:val="19"/>
        </w:rPr>
        <w:t>Failure to check this box shall be deemed an abstaining vote.</w:t>
      </w:r>
    </w:p>
    <w:p>
      <w:pPr>
        <w:spacing w:line="256" w:lineRule="auto" w:before="56"/>
        <w:ind w:left="1380" w:right="1832" w:hanging="187"/>
        <w:jc w:val="left"/>
        <w:rPr>
          <w:sz w:val="19"/>
        </w:rPr>
      </w:pPr>
      <w:r>
        <w:rPr/>
        <w:pict>
          <v:group style="position:absolute;margin-left:399.959991pt;margin-top:-515.448181pt;width:119.25pt;height:487.7pt;mso-position-horizontal-relative:page;mso-position-vertical-relative:paragraph;z-index:-16476160" coordorigin="7999,-10309" coordsize="2385,9754">
            <v:line style="position:absolute" from="8004,-10304" to="9235,-8748" stroked="true" strokeweight=".456pt" strokecolor="#231f20">
              <v:stroke dashstyle="solid"/>
            </v:line>
            <v:line style="position:absolute" from="9235,-10304" to="8004,-8748" stroked="true" strokeweight=".456pt" strokecolor="#231f20">
              <v:stroke dashstyle="solid"/>
            </v:line>
            <v:line style="position:absolute" from="9244,-10304" to="10380,-8748" stroked="true" strokeweight=".456pt" strokecolor="#231f20">
              <v:stroke dashstyle="solid"/>
            </v:line>
            <v:line style="position:absolute" from="10380,-10304" to="9244,-8748" stroked="true" strokeweight=".456pt" strokecolor="#231f20">
              <v:stroke dashstyle="solid"/>
            </v:line>
            <v:line style="position:absolute" from="8004,-8739" to="9235,-4484" stroked="true" strokeweight=".456pt" strokecolor="#231f20">
              <v:stroke dashstyle="solid"/>
            </v:line>
            <v:line style="position:absolute" from="9235,-8739" to="8004,-4484" stroked="true" strokeweight=".456pt" strokecolor="#231f20">
              <v:stroke dashstyle="solid"/>
            </v:line>
            <v:line style="position:absolute" from="9244,-8739" to="10380,-4484" stroked="true" strokeweight=".456pt" strokecolor="#231f20">
              <v:stroke dashstyle="solid"/>
            </v:line>
            <v:line style="position:absolute" from="10380,-8739" to="9244,-4484" stroked="true" strokeweight=".456pt" strokecolor="#231f20">
              <v:stroke dashstyle="solid"/>
            </v:line>
            <v:line style="position:absolute" from="8004,-4475" to="9235,-4120" stroked="true" strokeweight=".456pt" strokecolor="#231f20">
              <v:stroke dashstyle="solid"/>
            </v:line>
            <v:line style="position:absolute" from="9235,-4475" to="8004,-4120" stroked="true" strokeweight=".456pt" strokecolor="#231f20">
              <v:stroke dashstyle="solid"/>
            </v:line>
            <v:line style="position:absolute" from="9244,-4475" to="10380,-4120" stroked="true" strokeweight=".456pt" strokecolor="#231f20">
              <v:stroke dashstyle="solid"/>
            </v:line>
            <v:line style="position:absolute" from="10380,-4475" to="9244,-4120" stroked="true" strokeweight=".456pt" strokecolor="#231f20">
              <v:stroke dashstyle="solid"/>
            </v:line>
            <v:line style="position:absolute" from="8004,-4110" to="9235,-3756" stroked="true" strokeweight=".456pt" strokecolor="#231f20">
              <v:stroke dashstyle="solid"/>
            </v:line>
            <v:line style="position:absolute" from="9235,-4110" to="8004,-3756" stroked="true" strokeweight=".456pt" strokecolor="#231f20">
              <v:stroke dashstyle="solid"/>
            </v:line>
            <v:line style="position:absolute" from="9244,-4110" to="10380,-3756" stroked="true" strokeweight=".456pt" strokecolor="#231f20">
              <v:stroke dashstyle="solid"/>
            </v:line>
            <v:line style="position:absolute" from="10380,-4110" to="9244,-3756" stroked="true" strokeweight=".456pt" strokecolor="#231f20">
              <v:stroke dashstyle="solid"/>
            </v:line>
            <v:line style="position:absolute" from="8004,-3747" to="9235,-3392" stroked="true" strokeweight=".456pt" strokecolor="#231f20">
              <v:stroke dashstyle="solid"/>
            </v:line>
            <v:line style="position:absolute" from="9235,-3747" to="8004,-3392" stroked="true" strokeweight=".456pt" strokecolor="#231f20">
              <v:stroke dashstyle="solid"/>
            </v:line>
            <v:line style="position:absolute" from="9244,-3747" to="10380,-3392" stroked="true" strokeweight=".456pt" strokecolor="#231f20">
              <v:stroke dashstyle="solid"/>
            </v:line>
            <v:line style="position:absolute" from="10380,-3747" to="9244,-3392" stroked="true" strokeweight=".456pt" strokecolor="#231f20">
              <v:stroke dashstyle="solid"/>
            </v:line>
            <v:line style="position:absolute" from="8004,-3383" to="9235,-3029" stroked="true" strokeweight=".456pt" strokecolor="#231f20">
              <v:stroke dashstyle="solid"/>
            </v:line>
            <v:line style="position:absolute" from="9235,-3383" to="8004,-3029" stroked="true" strokeweight=".456pt" strokecolor="#231f20">
              <v:stroke dashstyle="solid"/>
            </v:line>
            <v:line style="position:absolute" from="9244,-3383" to="10380,-3029" stroked="true" strokeweight=".456pt" strokecolor="#231f20">
              <v:stroke dashstyle="solid"/>
            </v:line>
            <v:line style="position:absolute" from="10380,-3383" to="9244,-3029" stroked="true" strokeweight=".456pt" strokecolor="#231f20">
              <v:stroke dashstyle="solid"/>
            </v:line>
            <v:line style="position:absolute" from="8004,-3019" to="9235,-2665" stroked="true" strokeweight=".456pt" strokecolor="#231f20">
              <v:stroke dashstyle="solid"/>
            </v:line>
            <v:line style="position:absolute" from="9235,-3019" to="8004,-2665" stroked="true" strokeweight=".456pt" strokecolor="#231f20">
              <v:stroke dashstyle="solid"/>
            </v:line>
            <v:line style="position:absolute" from="9244,-3019" to="10380,-2665" stroked="true" strokeweight=".456pt" strokecolor="#231f20">
              <v:stroke dashstyle="solid"/>
            </v:line>
            <v:line style="position:absolute" from="10380,-3019" to="9244,-2665" stroked="true" strokeweight=".456pt" strokecolor="#231f20">
              <v:stroke dashstyle="solid"/>
            </v:line>
            <v:line style="position:absolute" from="8004,-2656" to="9235,-2301" stroked="true" strokeweight=".456pt" strokecolor="#231f20">
              <v:stroke dashstyle="solid"/>
            </v:line>
            <v:line style="position:absolute" from="9235,-2656" to="8004,-2301" stroked="true" strokeweight=".456pt" strokecolor="#231f20">
              <v:stroke dashstyle="solid"/>
            </v:line>
            <v:line style="position:absolute" from="9244,-2656" to="10380,-2301" stroked="true" strokeweight=".456pt" strokecolor="#231f20">
              <v:stroke dashstyle="solid"/>
            </v:line>
            <v:line style="position:absolute" from="10380,-2656" to="9244,-2301" stroked="true" strokeweight=".456pt" strokecolor="#231f20">
              <v:stroke dashstyle="solid"/>
            </v:line>
            <v:line style="position:absolute" from="8004,-2292" to="9235,-560" stroked="true" strokeweight=".456pt" strokecolor="#231f20">
              <v:stroke dashstyle="solid"/>
            </v:line>
            <v:line style="position:absolute" from="9235,-2292" to="8004,-560" stroked="true" strokeweight=".456pt" strokecolor="#231f20">
              <v:stroke dashstyle="solid"/>
            </v:line>
            <v:line style="position:absolute" from="9244,-2292" to="10380,-560" stroked="true" strokeweight=".456pt" strokecolor="#231f20">
              <v:stroke dashstyle="solid"/>
            </v:line>
            <v:line style="position:absolute" from="10380,-2292" to="9244,-560" stroked="true" strokeweight=".456pt" strokecolor="#231f20">
              <v:stroke dashstyle="solid"/>
            </v:line>
            <w10:wrap type="none"/>
          </v:group>
        </w:pict>
      </w:r>
      <w:r>
        <w:rPr>
          <w:rFonts w:ascii="Courier New"/>
          <w:color w:val="231F20"/>
          <w:position w:val="6"/>
          <w:sz w:val="12"/>
        </w:rPr>
        <w:t>2 </w:t>
      </w:r>
      <w:r>
        <w:rPr>
          <w:color w:val="231F20"/>
          <w:sz w:val="19"/>
        </w:rPr>
        <w:t>As each such term is defined in the Israeli Companies Law and as described in the Proxy Statement for the Annual General Meeting.</w:t>
      </w:r>
    </w:p>
    <w:p>
      <w:pPr>
        <w:spacing w:before="37"/>
        <w:ind w:left="1329" w:right="1832" w:hanging="135"/>
        <w:jc w:val="left"/>
        <w:rPr>
          <w:sz w:val="19"/>
        </w:rPr>
      </w:pPr>
      <w:r>
        <w:rPr>
          <w:color w:val="231F20"/>
          <w:position w:val="7"/>
          <w:sz w:val="12"/>
        </w:rPr>
        <w:t>3 </w:t>
      </w:r>
      <w:r>
        <w:rPr>
          <w:color w:val="231F20"/>
          <w:sz w:val="19"/>
        </w:rPr>
        <w:t>In the event you either fail to check this box or mark “yes” but fail to describe the nature of your personal benefit or other interest, your vote shall not be counted.</w:t>
      </w:r>
    </w:p>
    <w:p>
      <w:pPr>
        <w:spacing w:after="0"/>
        <w:jc w:val="left"/>
        <w:rPr>
          <w:sz w:val="19"/>
        </w:rPr>
        <w:sectPr>
          <w:footerReference w:type="default" r:id="rId23"/>
          <w:pgSz w:w="11880" w:h="15480"/>
          <w:pgMar w:footer="665" w:header="0" w:top="1060" w:bottom="860" w:left="300" w:right="0"/>
          <w:pgNumType w:start="2"/>
        </w:sectPr>
      </w:pPr>
    </w:p>
    <w:tbl>
      <w:tblPr>
        <w:tblW w:w="0" w:type="auto"/>
        <w:jc w:val="left"/>
        <w:tblInd w:w="130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232"/>
        <w:gridCol w:w="1077"/>
        <w:gridCol w:w="938"/>
        <w:gridCol w:w="1149"/>
        <w:gridCol w:w="1240"/>
        <w:gridCol w:w="1144"/>
      </w:tblGrid>
      <w:tr>
        <w:trPr>
          <w:trHeight w:val="697" w:hRule="atLeast"/>
        </w:trPr>
        <w:tc>
          <w:tcPr>
            <w:tcW w:w="3232" w:type="dxa"/>
          </w:tcPr>
          <w:p>
            <w:pPr>
              <w:pStyle w:val="TableParagraph"/>
              <w:tabs>
                <w:tab w:pos="688" w:val="left" w:leader="none"/>
                <w:tab w:pos="1950" w:val="left" w:leader="none"/>
                <w:tab w:pos="2923" w:val="left" w:leader="none"/>
              </w:tabs>
              <w:ind w:left="102" w:right="130"/>
              <w:rPr>
                <w:sz w:val="20"/>
              </w:rPr>
            </w:pPr>
            <w:r>
              <w:rPr>
                <w:color w:val="231F20"/>
                <w:sz w:val="20"/>
              </w:rPr>
              <w:t>the</w:t>
              <w:tab/>
              <w:t>Company’s</w:t>
              <w:tab/>
              <w:t>Articles</w:t>
              <w:tab/>
            </w:r>
            <w:r>
              <w:rPr>
                <w:color w:val="231F20"/>
                <w:spacing w:val="-9"/>
                <w:sz w:val="20"/>
              </w:rPr>
              <w:t>of </w:t>
            </w:r>
            <w:r>
              <w:rPr>
                <w:color w:val="231F20"/>
                <w:sz w:val="20"/>
              </w:rPr>
              <w:t>Association or the Israel</w:t>
            </w:r>
            <w:r>
              <w:rPr>
                <w:color w:val="231F20"/>
                <w:spacing w:val="14"/>
                <w:sz w:val="20"/>
              </w:rPr>
              <w:t> </w:t>
            </w:r>
            <w:r>
              <w:rPr>
                <w:color w:val="231F20"/>
                <w:sz w:val="20"/>
              </w:rPr>
              <w:t>Companies</w:t>
            </w:r>
          </w:p>
          <w:p>
            <w:pPr>
              <w:pStyle w:val="TableParagraph"/>
              <w:spacing w:line="219" w:lineRule="exact"/>
              <w:ind w:left="102"/>
              <w:rPr>
                <w:sz w:val="21"/>
              </w:rPr>
            </w:pPr>
            <w:r>
              <w:rPr>
                <w:color w:val="231F20"/>
                <w:sz w:val="20"/>
              </w:rPr>
              <w:t>Law, 5759-1999</w:t>
            </w:r>
            <w:r>
              <w:rPr>
                <w:color w:val="231F20"/>
                <w:sz w:val="21"/>
              </w:rPr>
              <w:t>.</w:t>
            </w:r>
          </w:p>
        </w:tc>
        <w:tc>
          <w:tcPr>
            <w:tcW w:w="1077" w:type="dxa"/>
          </w:tcPr>
          <w:p>
            <w:pPr>
              <w:pStyle w:val="TableParagraph"/>
              <w:rPr>
                <w:sz w:val="20"/>
              </w:rPr>
            </w:pPr>
          </w:p>
        </w:tc>
        <w:tc>
          <w:tcPr>
            <w:tcW w:w="938" w:type="dxa"/>
          </w:tcPr>
          <w:p>
            <w:pPr>
              <w:pStyle w:val="TableParagraph"/>
              <w:rPr>
                <w:sz w:val="20"/>
              </w:rPr>
            </w:pPr>
          </w:p>
        </w:tc>
        <w:tc>
          <w:tcPr>
            <w:tcW w:w="1149" w:type="dxa"/>
          </w:tcPr>
          <w:p>
            <w:pPr>
              <w:pStyle w:val="TableParagraph"/>
              <w:rPr>
                <w:sz w:val="20"/>
              </w:rPr>
            </w:pPr>
          </w:p>
        </w:tc>
        <w:tc>
          <w:tcPr>
            <w:tcW w:w="1240" w:type="dxa"/>
          </w:tcPr>
          <w:p>
            <w:pPr>
              <w:pStyle w:val="TableParagraph"/>
              <w:rPr>
                <w:sz w:val="20"/>
              </w:rPr>
            </w:pPr>
          </w:p>
        </w:tc>
        <w:tc>
          <w:tcPr>
            <w:tcW w:w="1144" w:type="dxa"/>
          </w:tcPr>
          <w:p>
            <w:pPr>
              <w:pStyle w:val="TableParagraph"/>
              <w:rPr>
                <w:sz w:val="20"/>
              </w:rPr>
            </w:pPr>
          </w:p>
        </w:tc>
      </w:tr>
      <w:tr>
        <w:trPr>
          <w:trHeight w:val="2429" w:hRule="atLeast"/>
        </w:trPr>
        <w:tc>
          <w:tcPr>
            <w:tcW w:w="3232" w:type="dxa"/>
          </w:tcPr>
          <w:p>
            <w:pPr>
              <w:pStyle w:val="TableParagraph"/>
              <w:spacing w:before="112"/>
              <w:ind w:left="102" w:right="128"/>
              <w:jc w:val="both"/>
              <w:rPr>
                <w:sz w:val="20"/>
              </w:rPr>
            </w:pPr>
            <w:r>
              <w:rPr>
                <w:b/>
                <w:color w:val="231F20"/>
                <w:sz w:val="21"/>
              </w:rPr>
              <w:t>Proposal 4 </w:t>
            </w:r>
            <w:r>
              <w:rPr>
                <w:color w:val="231F20"/>
                <w:sz w:val="21"/>
              </w:rPr>
              <w:t>– </w:t>
            </w:r>
            <w:r>
              <w:rPr>
                <w:color w:val="231F20"/>
                <w:sz w:val="20"/>
              </w:rPr>
              <w:t>To elect Nir</w:t>
            </w:r>
            <w:r>
              <w:rPr>
                <w:color w:val="231F20"/>
                <w:spacing w:val="-37"/>
                <w:sz w:val="20"/>
              </w:rPr>
              <w:t> </w:t>
            </w:r>
            <w:r>
              <w:rPr>
                <w:color w:val="231F20"/>
                <w:sz w:val="20"/>
              </w:rPr>
              <w:t>Rotenberg as a member of the board of</w:t>
            </w:r>
            <w:r>
              <w:rPr>
                <w:color w:val="231F20"/>
                <w:spacing w:val="-21"/>
                <w:sz w:val="20"/>
              </w:rPr>
              <w:t> </w:t>
            </w:r>
            <w:r>
              <w:rPr>
                <w:color w:val="231F20"/>
                <w:sz w:val="20"/>
              </w:rPr>
              <w:t>directors of the Company, to serve until </w:t>
            </w:r>
            <w:r>
              <w:rPr>
                <w:color w:val="231F20"/>
                <w:spacing w:val="-4"/>
                <w:sz w:val="20"/>
              </w:rPr>
              <w:t>the </w:t>
            </w:r>
            <w:r>
              <w:rPr>
                <w:color w:val="231F20"/>
                <w:sz w:val="20"/>
              </w:rPr>
              <w:t>next annual meeting of shareholders and until his successor has been duly elected and qualified or until </w:t>
            </w:r>
            <w:r>
              <w:rPr>
                <w:color w:val="231F20"/>
                <w:spacing w:val="-5"/>
                <w:sz w:val="20"/>
              </w:rPr>
              <w:t>his </w:t>
            </w:r>
            <w:r>
              <w:rPr>
                <w:color w:val="231F20"/>
                <w:sz w:val="20"/>
              </w:rPr>
              <w:t>office is vacated in accordance with the Company’s Articles of Association or the Israel</w:t>
            </w:r>
            <w:r>
              <w:rPr>
                <w:color w:val="231F20"/>
                <w:spacing w:val="14"/>
                <w:sz w:val="20"/>
              </w:rPr>
              <w:t> </w:t>
            </w:r>
            <w:r>
              <w:rPr>
                <w:color w:val="231F20"/>
                <w:sz w:val="20"/>
              </w:rPr>
              <w:t>Companies</w:t>
            </w:r>
          </w:p>
          <w:p>
            <w:pPr>
              <w:pStyle w:val="TableParagraph"/>
              <w:spacing w:line="216" w:lineRule="exact"/>
              <w:ind w:left="102"/>
              <w:jc w:val="both"/>
              <w:rPr>
                <w:sz w:val="21"/>
              </w:rPr>
            </w:pPr>
            <w:r>
              <w:rPr>
                <w:color w:val="231F20"/>
                <w:sz w:val="20"/>
              </w:rPr>
              <w:t>Law, 5759-1999</w:t>
            </w:r>
            <w:r>
              <w:rPr>
                <w:color w:val="231F20"/>
                <w:sz w:val="21"/>
              </w:rPr>
              <w:t>.</w:t>
            </w:r>
          </w:p>
        </w:tc>
        <w:tc>
          <w:tcPr>
            <w:tcW w:w="1077" w:type="dxa"/>
          </w:tcPr>
          <w:p>
            <w:pPr>
              <w:pStyle w:val="TableParagraph"/>
              <w:rPr>
                <w:sz w:val="20"/>
              </w:rPr>
            </w:pPr>
          </w:p>
        </w:tc>
        <w:tc>
          <w:tcPr>
            <w:tcW w:w="938" w:type="dxa"/>
          </w:tcPr>
          <w:p>
            <w:pPr>
              <w:pStyle w:val="TableParagraph"/>
              <w:rPr>
                <w:sz w:val="20"/>
              </w:rPr>
            </w:pPr>
          </w:p>
        </w:tc>
        <w:tc>
          <w:tcPr>
            <w:tcW w:w="1149" w:type="dxa"/>
          </w:tcPr>
          <w:p>
            <w:pPr>
              <w:pStyle w:val="TableParagraph"/>
              <w:rPr>
                <w:sz w:val="20"/>
              </w:rPr>
            </w:pPr>
          </w:p>
        </w:tc>
        <w:tc>
          <w:tcPr>
            <w:tcW w:w="1240" w:type="dxa"/>
          </w:tcPr>
          <w:p>
            <w:pPr>
              <w:pStyle w:val="TableParagraph"/>
              <w:rPr>
                <w:sz w:val="20"/>
              </w:rPr>
            </w:pPr>
          </w:p>
        </w:tc>
        <w:tc>
          <w:tcPr>
            <w:tcW w:w="1144" w:type="dxa"/>
          </w:tcPr>
          <w:p>
            <w:pPr>
              <w:pStyle w:val="TableParagraph"/>
              <w:rPr>
                <w:sz w:val="20"/>
              </w:rPr>
            </w:pPr>
          </w:p>
        </w:tc>
      </w:tr>
      <w:tr>
        <w:trPr>
          <w:trHeight w:val="1555" w:hRule="atLeast"/>
        </w:trPr>
        <w:tc>
          <w:tcPr>
            <w:tcW w:w="3232" w:type="dxa"/>
          </w:tcPr>
          <w:p>
            <w:pPr>
              <w:pStyle w:val="TableParagraph"/>
              <w:spacing w:before="112"/>
              <w:ind w:left="102" w:right="128"/>
              <w:jc w:val="both"/>
              <w:rPr>
                <w:sz w:val="21"/>
              </w:rPr>
            </w:pPr>
            <w:r>
              <w:rPr>
                <w:b/>
                <w:color w:val="231F20"/>
                <w:sz w:val="21"/>
              </w:rPr>
              <w:t>Proposal 5 </w:t>
            </w:r>
            <w:r>
              <w:rPr>
                <w:color w:val="231F20"/>
                <w:sz w:val="21"/>
              </w:rPr>
              <w:t>– To approve </w:t>
            </w:r>
            <w:r>
              <w:rPr>
                <w:color w:val="231F20"/>
                <w:spacing w:val="-4"/>
                <w:sz w:val="21"/>
              </w:rPr>
              <w:t>the </w:t>
            </w:r>
            <w:r>
              <w:rPr>
                <w:color w:val="231F20"/>
                <w:sz w:val="21"/>
              </w:rPr>
              <w:t>Company’s Compensation Policy for officers and directors for an additional period of three </w:t>
            </w:r>
            <w:r>
              <w:rPr>
                <w:color w:val="231F20"/>
                <w:spacing w:val="-3"/>
                <w:sz w:val="21"/>
              </w:rPr>
              <w:t>years</w:t>
            </w:r>
          </w:p>
          <w:p>
            <w:pPr>
              <w:pStyle w:val="TableParagraph"/>
              <w:spacing w:line="240" w:lineRule="exact"/>
              <w:ind w:left="102" w:right="133"/>
              <w:jc w:val="both"/>
              <w:rPr>
                <w:sz w:val="21"/>
              </w:rPr>
            </w:pPr>
            <w:r>
              <w:rPr>
                <w:color w:val="231F20"/>
                <w:sz w:val="21"/>
              </w:rPr>
              <w:t>from the date of the Meeting, with certain changes thereto.</w:t>
            </w:r>
          </w:p>
        </w:tc>
        <w:tc>
          <w:tcPr>
            <w:tcW w:w="1077" w:type="dxa"/>
          </w:tcPr>
          <w:p>
            <w:pPr>
              <w:pStyle w:val="TableParagraph"/>
              <w:rPr>
                <w:sz w:val="20"/>
              </w:rPr>
            </w:pPr>
          </w:p>
        </w:tc>
        <w:tc>
          <w:tcPr>
            <w:tcW w:w="938" w:type="dxa"/>
          </w:tcPr>
          <w:p>
            <w:pPr>
              <w:pStyle w:val="TableParagraph"/>
              <w:rPr>
                <w:sz w:val="20"/>
              </w:rPr>
            </w:pPr>
          </w:p>
        </w:tc>
        <w:tc>
          <w:tcPr>
            <w:tcW w:w="1149" w:type="dxa"/>
          </w:tcPr>
          <w:p>
            <w:pPr>
              <w:pStyle w:val="TableParagraph"/>
              <w:rPr>
                <w:sz w:val="20"/>
              </w:rPr>
            </w:pPr>
          </w:p>
        </w:tc>
        <w:tc>
          <w:tcPr>
            <w:tcW w:w="1240" w:type="dxa"/>
          </w:tcPr>
          <w:p>
            <w:pPr>
              <w:pStyle w:val="TableParagraph"/>
              <w:rPr>
                <w:sz w:val="20"/>
              </w:rPr>
            </w:pPr>
          </w:p>
        </w:tc>
        <w:tc>
          <w:tcPr>
            <w:tcW w:w="1144" w:type="dxa"/>
          </w:tcPr>
          <w:p>
            <w:pPr>
              <w:pStyle w:val="TableParagraph"/>
              <w:rPr>
                <w:sz w:val="20"/>
              </w:rPr>
            </w:pPr>
          </w:p>
        </w:tc>
      </w:tr>
      <w:tr>
        <w:trPr>
          <w:trHeight w:val="3236" w:hRule="atLeast"/>
        </w:trPr>
        <w:tc>
          <w:tcPr>
            <w:tcW w:w="3232" w:type="dxa"/>
          </w:tcPr>
          <w:p>
            <w:pPr>
              <w:pStyle w:val="TableParagraph"/>
              <w:spacing w:before="109"/>
              <w:ind w:left="102" w:right="128"/>
              <w:jc w:val="both"/>
              <w:rPr>
                <w:sz w:val="21"/>
              </w:rPr>
            </w:pPr>
            <w:r>
              <w:rPr>
                <w:b/>
                <w:color w:val="231F20"/>
                <w:sz w:val="21"/>
              </w:rPr>
              <w:t>Proposal 6 – </w:t>
            </w:r>
            <w:r>
              <w:rPr>
                <w:color w:val="231F20"/>
                <w:sz w:val="21"/>
              </w:rPr>
              <w:t>To approve </w:t>
            </w:r>
            <w:r>
              <w:rPr>
                <w:color w:val="231F20"/>
                <w:spacing w:val="-5"/>
                <w:sz w:val="21"/>
              </w:rPr>
              <w:t>the </w:t>
            </w:r>
            <w:r>
              <w:rPr>
                <w:color w:val="231F20"/>
                <w:sz w:val="21"/>
              </w:rPr>
              <w:t>reappointment of Kost </w:t>
            </w:r>
            <w:r>
              <w:rPr>
                <w:color w:val="231F20"/>
                <w:spacing w:val="-3"/>
                <w:sz w:val="21"/>
              </w:rPr>
              <w:t>Forer </w:t>
            </w:r>
            <w:r>
              <w:rPr>
                <w:color w:val="231F20"/>
                <w:sz w:val="21"/>
              </w:rPr>
              <w:t>Gabbay &amp; Kasierer, a member </w:t>
            </w:r>
            <w:r>
              <w:rPr>
                <w:color w:val="231F20"/>
                <w:spacing w:val="-7"/>
                <w:sz w:val="21"/>
              </w:rPr>
              <w:t>of </w:t>
            </w:r>
            <w:r>
              <w:rPr>
                <w:color w:val="231F20"/>
                <w:sz w:val="21"/>
              </w:rPr>
              <w:t>Ernst &amp; Young Global, as </w:t>
            </w:r>
            <w:r>
              <w:rPr>
                <w:color w:val="231F20"/>
                <w:spacing w:val="-4"/>
                <w:sz w:val="21"/>
              </w:rPr>
              <w:t>the </w:t>
            </w:r>
            <w:r>
              <w:rPr>
                <w:color w:val="231F20"/>
                <w:sz w:val="21"/>
              </w:rPr>
              <w:t>Company’s independent registered public accounting firm for the year ending</w:t>
            </w:r>
            <w:r>
              <w:rPr>
                <w:color w:val="231F20"/>
                <w:spacing w:val="-16"/>
                <w:sz w:val="21"/>
              </w:rPr>
              <w:t> </w:t>
            </w:r>
            <w:r>
              <w:rPr>
                <w:color w:val="231F20"/>
                <w:sz w:val="21"/>
              </w:rPr>
              <w:t>December</w:t>
            </w:r>
            <w:r>
              <w:rPr>
                <w:color w:val="231F20"/>
                <w:spacing w:val="-16"/>
                <w:sz w:val="21"/>
              </w:rPr>
              <w:t> </w:t>
            </w:r>
            <w:r>
              <w:rPr>
                <w:color w:val="231F20"/>
                <w:sz w:val="21"/>
              </w:rPr>
              <w:t>31,</w:t>
            </w:r>
            <w:r>
              <w:rPr>
                <w:color w:val="231F20"/>
                <w:spacing w:val="-16"/>
                <w:sz w:val="21"/>
              </w:rPr>
              <w:t> </w:t>
            </w:r>
            <w:r>
              <w:rPr>
                <w:color w:val="231F20"/>
                <w:sz w:val="21"/>
              </w:rPr>
              <w:t>2023</w:t>
            </w:r>
            <w:r>
              <w:rPr>
                <w:color w:val="231F20"/>
                <w:spacing w:val="-16"/>
                <w:sz w:val="21"/>
              </w:rPr>
              <w:t> </w:t>
            </w:r>
            <w:r>
              <w:rPr>
                <w:color w:val="231F20"/>
                <w:sz w:val="21"/>
              </w:rPr>
              <w:t>and</w:t>
            </w:r>
            <w:r>
              <w:rPr>
                <w:color w:val="231F20"/>
                <w:spacing w:val="-16"/>
                <w:sz w:val="21"/>
              </w:rPr>
              <w:t> </w:t>
            </w:r>
            <w:r>
              <w:rPr>
                <w:color w:val="231F20"/>
                <w:spacing w:val="-3"/>
                <w:sz w:val="21"/>
              </w:rPr>
              <w:t>until </w:t>
            </w:r>
            <w:r>
              <w:rPr>
                <w:color w:val="231F20"/>
                <w:sz w:val="21"/>
              </w:rPr>
              <w:t>the next annual meeting </w:t>
            </w:r>
            <w:r>
              <w:rPr>
                <w:color w:val="231F20"/>
                <w:spacing w:val="-6"/>
                <w:sz w:val="21"/>
              </w:rPr>
              <w:t>of </w:t>
            </w:r>
            <w:r>
              <w:rPr>
                <w:color w:val="231F20"/>
                <w:sz w:val="21"/>
              </w:rPr>
              <w:t>shareholders, and to authorize </w:t>
            </w:r>
            <w:r>
              <w:rPr>
                <w:color w:val="231F20"/>
                <w:spacing w:val="-4"/>
                <w:sz w:val="21"/>
              </w:rPr>
              <w:t>the </w:t>
            </w:r>
            <w:r>
              <w:rPr>
                <w:color w:val="231F20"/>
                <w:sz w:val="21"/>
              </w:rPr>
              <w:t>Board,</w:t>
            </w:r>
            <w:r>
              <w:rPr>
                <w:color w:val="231F20"/>
                <w:spacing w:val="-13"/>
                <w:sz w:val="21"/>
              </w:rPr>
              <w:t> </w:t>
            </w:r>
            <w:r>
              <w:rPr>
                <w:color w:val="231F20"/>
                <w:sz w:val="21"/>
              </w:rPr>
              <w:t>upon</w:t>
            </w:r>
            <w:r>
              <w:rPr>
                <w:color w:val="231F20"/>
                <w:spacing w:val="-12"/>
                <w:sz w:val="21"/>
              </w:rPr>
              <w:t> </w:t>
            </w:r>
            <w:r>
              <w:rPr>
                <w:color w:val="231F20"/>
                <w:sz w:val="21"/>
              </w:rPr>
              <w:t>recommendation</w:t>
            </w:r>
            <w:r>
              <w:rPr>
                <w:color w:val="231F20"/>
                <w:spacing w:val="-13"/>
                <w:sz w:val="21"/>
              </w:rPr>
              <w:t> </w:t>
            </w:r>
            <w:r>
              <w:rPr>
                <w:color w:val="231F20"/>
                <w:sz w:val="21"/>
              </w:rPr>
              <w:t>of</w:t>
            </w:r>
            <w:r>
              <w:rPr>
                <w:color w:val="231F20"/>
                <w:spacing w:val="-12"/>
                <w:sz w:val="21"/>
              </w:rPr>
              <w:t> </w:t>
            </w:r>
            <w:r>
              <w:rPr>
                <w:color w:val="231F20"/>
                <w:spacing w:val="-5"/>
                <w:sz w:val="21"/>
              </w:rPr>
              <w:t>the </w:t>
            </w:r>
            <w:r>
              <w:rPr>
                <w:color w:val="231F20"/>
                <w:sz w:val="21"/>
              </w:rPr>
              <w:t>audit committee, to fix </w:t>
            </w:r>
            <w:r>
              <w:rPr>
                <w:color w:val="231F20"/>
                <w:spacing w:val="-4"/>
                <w:sz w:val="21"/>
              </w:rPr>
              <w:t>the </w:t>
            </w:r>
            <w:r>
              <w:rPr>
                <w:color w:val="231F20"/>
                <w:sz w:val="21"/>
              </w:rPr>
              <w:t>remuneration of said</w:t>
            </w:r>
            <w:r>
              <w:rPr>
                <w:color w:val="231F20"/>
                <w:spacing w:val="7"/>
                <w:sz w:val="21"/>
              </w:rPr>
              <w:t> </w:t>
            </w:r>
            <w:r>
              <w:rPr>
                <w:color w:val="231F20"/>
                <w:sz w:val="21"/>
              </w:rPr>
              <w:t>independent</w:t>
            </w:r>
          </w:p>
          <w:p>
            <w:pPr>
              <w:pStyle w:val="TableParagraph"/>
              <w:spacing w:line="209" w:lineRule="exact"/>
              <w:ind w:left="102"/>
              <w:jc w:val="both"/>
              <w:rPr>
                <w:sz w:val="21"/>
              </w:rPr>
            </w:pPr>
            <w:r>
              <w:rPr>
                <w:color w:val="231F20"/>
                <w:sz w:val="21"/>
              </w:rPr>
              <w:t>registered public accounting firm.</w:t>
            </w:r>
          </w:p>
        </w:tc>
        <w:tc>
          <w:tcPr>
            <w:tcW w:w="1077" w:type="dxa"/>
          </w:tcPr>
          <w:p>
            <w:pPr>
              <w:pStyle w:val="TableParagraph"/>
              <w:rPr>
                <w:sz w:val="20"/>
              </w:rPr>
            </w:pPr>
          </w:p>
        </w:tc>
        <w:tc>
          <w:tcPr>
            <w:tcW w:w="938" w:type="dxa"/>
          </w:tcPr>
          <w:p>
            <w:pPr>
              <w:pStyle w:val="TableParagraph"/>
              <w:rPr>
                <w:sz w:val="20"/>
              </w:rPr>
            </w:pPr>
          </w:p>
        </w:tc>
        <w:tc>
          <w:tcPr>
            <w:tcW w:w="1149" w:type="dxa"/>
          </w:tcPr>
          <w:p>
            <w:pPr>
              <w:pStyle w:val="TableParagraph"/>
              <w:rPr>
                <w:sz w:val="20"/>
              </w:rPr>
            </w:pPr>
          </w:p>
        </w:tc>
        <w:tc>
          <w:tcPr>
            <w:tcW w:w="1240" w:type="dxa"/>
          </w:tcPr>
          <w:p>
            <w:pPr>
              <w:pStyle w:val="TableParagraph"/>
              <w:rPr>
                <w:sz w:val="20"/>
              </w:rPr>
            </w:pPr>
          </w:p>
        </w:tc>
        <w:tc>
          <w:tcPr>
            <w:tcW w:w="1144" w:type="dxa"/>
          </w:tcPr>
          <w:p>
            <w:pPr>
              <w:pStyle w:val="TableParagraph"/>
              <w:rPr>
                <w:sz w:val="20"/>
              </w:rPr>
            </w:pPr>
          </w:p>
        </w:tc>
      </w:tr>
    </w:tbl>
    <w:p>
      <w:pPr>
        <w:pStyle w:val="BodyText"/>
      </w:pPr>
      <w:r>
        <w:rPr/>
        <w:pict>
          <v:group style="position:absolute;margin-left:400.044006pt;margin-top:73.483002pt;width:119.25pt;height:157.4pt;mso-position-horizontal-relative:page;mso-position-vertical-relative:page;z-index:-16474624" coordorigin="8001,1470" coordsize="2385,3148">
            <v:line style="position:absolute" from="8005,1474" to="9237,2173" stroked="true" strokeweight=".456pt" strokecolor="#231f20">
              <v:stroke dashstyle="solid"/>
            </v:line>
            <v:line style="position:absolute" from="9237,1474" to="8005,2173" stroked="true" strokeweight=".456pt" strokecolor="#231f20">
              <v:stroke dashstyle="solid"/>
            </v:line>
            <v:line style="position:absolute" from="9246,1474" to="10381,2173" stroked="true" strokeweight=".456pt" strokecolor="#231f20">
              <v:stroke dashstyle="solid"/>
            </v:line>
            <v:line style="position:absolute" from="10381,1474" to="9246,2173" stroked="true" strokeweight=".456pt" strokecolor="#231f20">
              <v:stroke dashstyle="solid"/>
            </v:line>
            <v:line style="position:absolute" from="8005,2182" to="9237,4613" stroked="true" strokeweight=".456pt" strokecolor="#231f20">
              <v:stroke dashstyle="solid"/>
            </v:line>
            <v:line style="position:absolute" from="9237,2182" to="8005,4613" stroked="true" strokeweight=".456pt" strokecolor="#231f20">
              <v:stroke dashstyle="solid"/>
            </v:line>
            <v:line style="position:absolute" from="9246,2182" to="10381,4613" stroked="true" strokeweight=".456pt" strokecolor="#231f20">
              <v:stroke dashstyle="solid"/>
            </v:line>
            <v:line style="position:absolute" from="10381,2182" to="9246,4613" stroked="true" strokeweight=".456pt" strokecolor="#231f20">
              <v:stroke dashstyle="solid"/>
            </v:line>
            <w10:wrap type="none"/>
          </v:group>
        </w:pict>
      </w:r>
    </w:p>
    <w:p>
      <w:pPr>
        <w:pStyle w:val="BodyText"/>
        <w:spacing w:before="2"/>
        <w:rPr>
          <w:sz w:val="25"/>
        </w:rPr>
      </w:pPr>
    </w:p>
    <w:p>
      <w:pPr>
        <w:pStyle w:val="Heading1"/>
        <w:tabs>
          <w:tab w:pos="9219" w:val="left" w:leader="none"/>
        </w:tabs>
        <w:spacing w:before="1"/>
      </w:pPr>
      <w:r>
        <w:rPr/>
        <w:pict>
          <v:group style="position:absolute;margin-left:400.044006pt;margin-top:-188.411957pt;width:119.25pt;height:162.5pt;mso-position-horizontal-relative:page;mso-position-vertical-relative:paragraph;z-index:-16474112" coordorigin="8001,-3768" coordsize="2385,3250">
            <v:line style="position:absolute" from="8005,-3764" to="9237,-523" stroked="true" strokeweight=".456pt" strokecolor="#231f20">
              <v:stroke dashstyle="solid"/>
            </v:line>
            <v:line style="position:absolute" from="9237,-3764" to="8005,-523" stroked="true" strokeweight=".456pt" strokecolor="#231f20">
              <v:stroke dashstyle="solid"/>
            </v:line>
            <v:line style="position:absolute" from="9246,-3764" to="10381,-523" stroked="true" strokeweight=".456pt" strokecolor="#231f20">
              <v:stroke dashstyle="solid"/>
            </v:line>
            <v:line style="position:absolute" from="10381,-3764" to="9246,-523" stroked="true" strokeweight=".456pt" strokecolor="#231f20">
              <v:stroke dashstyle="solid"/>
            </v:line>
            <w10:wrap type="none"/>
          </v:group>
        </w:pict>
      </w:r>
      <w:r>
        <w:rPr>
          <w:color w:val="231F20"/>
        </w:rPr>
        <w:t>*Please</w:t>
      </w:r>
      <w:r>
        <w:rPr>
          <w:color w:val="231F20"/>
          <w:spacing w:val="-10"/>
        </w:rPr>
        <w:t> </w:t>
      </w:r>
      <w:r>
        <w:rPr>
          <w:color w:val="231F20"/>
        </w:rPr>
        <w:t>describe: </w:t>
      </w:r>
      <w:r>
        <w:rPr>
          <w:color w:val="231F20"/>
          <w:spacing w:val="2"/>
        </w:rPr>
        <w:t> </w:t>
      </w:r>
      <w:r>
        <w:rPr>
          <w:color w:val="231F20"/>
          <w:w w:val="99"/>
          <w:u w:val="single" w:color="221E1F"/>
        </w:rPr>
        <w:t> </w:t>
      </w:r>
      <w:r>
        <w:rPr>
          <w:color w:val="231F20"/>
          <w:u w:val="single" w:color="221E1F"/>
        </w:rPr>
        <w:tab/>
      </w:r>
    </w:p>
    <w:p>
      <w:pPr>
        <w:pStyle w:val="BodyText"/>
      </w:pPr>
    </w:p>
    <w:p>
      <w:pPr>
        <w:pStyle w:val="BodyText"/>
        <w:spacing w:before="5"/>
        <w:rPr>
          <w:sz w:val="17"/>
        </w:rPr>
      </w:pPr>
      <w:r>
        <w:rPr/>
        <w:pict>
          <v:shape style="position:absolute;margin-left:74.801903pt;margin-top:12.26790pt;width:402.15pt;height:.1pt;mso-position-horizontal-relative:page;mso-position-vertical-relative:paragraph;z-index:-15690240;mso-wrap-distance-left:0;mso-wrap-distance-right:0" coordorigin="1496,245" coordsize="8043,0" path="m1496,245l9539,245e" filled="false" stroked="true" strokeweight=".41724pt" strokecolor="#221e1f">
            <v:path arrowok="t"/>
            <v:stroke dashstyle="solid"/>
            <w10:wrap type="topAndBottom"/>
          </v:shape>
        </w:pict>
      </w:r>
    </w:p>
    <w:p>
      <w:pPr>
        <w:pStyle w:val="BodyText"/>
        <w:spacing w:before="3"/>
        <w:rPr>
          <w:sz w:val="29"/>
        </w:rPr>
      </w:pPr>
    </w:p>
    <w:p>
      <w:pPr>
        <w:spacing w:before="114"/>
        <w:ind w:left="1196" w:right="0" w:firstLine="0"/>
        <w:jc w:val="left"/>
        <w:rPr>
          <w:sz w:val="21"/>
        </w:rPr>
      </w:pPr>
      <w:r>
        <w:rPr>
          <w:color w:val="231F20"/>
          <w:sz w:val="21"/>
        </w:rPr>
        <w:t>Signature of the Shareholder: [Please sign]</w:t>
      </w:r>
    </w:p>
    <w:p>
      <w:pPr>
        <w:pStyle w:val="BodyText"/>
      </w:pPr>
    </w:p>
    <w:p>
      <w:pPr>
        <w:pStyle w:val="BodyText"/>
        <w:spacing w:before="6"/>
        <w:rPr>
          <w:sz w:val="17"/>
        </w:rPr>
      </w:pPr>
      <w:r>
        <w:rPr/>
        <w:pict>
          <v:shape style="position:absolute;margin-left:74.801903pt;margin-top:12.280765pt;width:161.85pt;height:.1pt;mso-position-horizontal-relative:page;mso-position-vertical-relative:paragraph;z-index:-15689728;mso-wrap-distance-left:0;mso-wrap-distance-right:0" coordorigin="1496,246" coordsize="3237,0" path="m1496,246l4733,246e" filled="false" stroked="true" strokeweight=".41724pt" strokecolor="#221e1f">
            <v:path arrowok="t"/>
            <v:stroke dashstyle="solid"/>
            <w10:wrap type="topAndBottom"/>
          </v:shape>
        </w:pict>
      </w:r>
    </w:p>
    <w:p>
      <w:pPr>
        <w:pStyle w:val="BodyText"/>
        <w:spacing w:before="4"/>
        <w:rPr>
          <w:sz w:val="8"/>
        </w:rPr>
      </w:pPr>
    </w:p>
    <w:p>
      <w:pPr>
        <w:pStyle w:val="Heading1"/>
        <w:tabs>
          <w:tab w:pos="4521" w:val="left" w:leader="none"/>
        </w:tabs>
      </w:pPr>
      <w:r>
        <w:rPr>
          <w:color w:val="231F20"/>
        </w:rPr>
        <w:t>Date: </w:t>
      </w:r>
      <w:r>
        <w:rPr>
          <w:color w:val="231F20"/>
          <w:w w:val="99"/>
          <w:u w:val="single" w:color="221E1F"/>
        </w:rPr>
        <w:t> </w:t>
      </w:r>
      <w:r>
        <w:rPr>
          <w:color w:val="231F20"/>
          <w:u w:val="single" w:color="221E1F"/>
        </w:rPr>
        <w:tab/>
      </w:r>
    </w:p>
    <w:sectPr>
      <w:pgSz w:w="11880" w:h="15480"/>
      <w:pgMar w:header="0" w:footer="665" w:top="1460" w:bottom="860" w:left="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MS UI Gothic">
    <w:altName w:val="MS UI 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91.508209pt;margin-top:729.7771pt;width:11pt;height:15.25pt;mso-position-horizontal-relative:page;mso-position-vertical-relative:page;z-index:-16514048" type="#_x0000_t202" filled="false" stroked="false">
          <v:textbox inset="0,0,0,0">
            <w:txbxContent>
              <w:p>
                <w:pPr>
                  <w:pStyle w:val="BodyText"/>
                  <w:spacing w:before="22"/>
                  <w:ind w:left="60"/>
                </w:pPr>
                <w:r>
                  <w:rPr/>
                  <w:fldChar w:fldCharType="begin"/>
                </w:r>
                <w:r>
                  <w:rPr>
                    <w:color w:val="231F20"/>
                    <w:w w:val="99"/>
                  </w:rPr>
                  <w:instrText> PAGE </w:instrText>
                </w:r>
                <w:r>
                  <w:rPr/>
                  <w:fldChar w:fldCharType="separate"/>
                </w:r>
                <w:r>
                  <w:rPr/>
                  <w:t>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1.508301pt;margin-top:729.774597pt;width:11pt;height:15.25pt;mso-position-horizontal-relative:page;mso-position-vertical-relative:page;z-index:-16512000" type="#_x0000_t202" filled="false" stroked="false">
          <v:textbox inset="0,0,0,0">
            <w:txbxContent>
              <w:p>
                <w:pPr>
                  <w:pStyle w:val="BodyText"/>
                  <w:spacing w:before="22"/>
                  <w:ind w:left="60"/>
                </w:pPr>
                <w:r>
                  <w:rPr/>
                  <w:fldChar w:fldCharType="begin"/>
                </w:r>
                <w:r>
                  <w:rPr>
                    <w:color w:val="231F20"/>
                    <w:w w:val="99"/>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9.013702pt;margin-top:729.767944pt;width:16pt;height:15.25pt;mso-position-horizontal-relative:page;mso-position-vertical-relative:page;z-index:-16513536" type="#_x0000_t202" filled="false" stroked="false">
          <v:textbox inset="0,0,0,0">
            <w:txbxContent>
              <w:p>
                <w:pPr>
                  <w:pStyle w:val="BodyText"/>
                  <w:spacing w:before="22"/>
                  <w:ind w:left="60"/>
                </w:pPr>
                <w:r>
                  <w:rPr/>
                  <w:fldChar w:fldCharType="begin"/>
                </w:r>
                <w:r>
                  <w:rPr>
                    <w:color w:val="231F20"/>
                  </w:rPr>
                  <w:instrText> PAGE </w:instrText>
                </w:r>
                <w:r>
                  <w:rPr/>
                  <w:fldChar w:fldCharType="separate"/>
                </w:r>
                <w:r>
                  <w:rPr/>
                  <w:t>10</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8.001434pt;margin-top:729.774597pt;width:20.05pt;height:15.25pt;mso-position-horizontal-relative:page;mso-position-vertical-relative:page;z-index:-16513024" type="#_x0000_t202" filled="false" stroked="false">
          <v:textbox inset="0,0,0,0">
            <w:txbxContent>
              <w:p>
                <w:pPr>
                  <w:pStyle w:val="BodyText"/>
                  <w:spacing w:before="22"/>
                  <w:ind w:left="20"/>
                </w:pPr>
                <w:r>
                  <w:rPr>
                    <w:color w:val="231F20"/>
                    <w:w w:val="105"/>
                  </w:rPr>
                  <w:t>A-</w:t>
                </w:r>
                <w:r>
                  <w:rPr/>
                  <w:fldChar w:fldCharType="begin"/>
                </w:r>
                <w:r>
                  <w:rPr>
                    <w:color w:val="231F20"/>
                    <w:w w:val="105"/>
                  </w:rPr>
                  <w:instrText> PAGE </w:instrText>
                </w:r>
                <w:r>
                  <w:rPr/>
                  <w:fldChar w:fldCharType="separate"/>
                </w:r>
                <w:r>
                  <w:rPr/>
                  <w:t>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2.793884pt;margin-top:729.776184pt;width:50.45pt;height:15.25pt;mso-position-horizontal-relative:page;mso-position-vertical-relative:page;z-index:-16512512" type="#_x0000_t202" filled="false" stroked="false">
          <v:textbox inset="0,0,0,0">
            <w:txbxContent>
              <w:p>
                <w:pPr>
                  <w:pStyle w:val="BodyText"/>
                  <w:spacing w:before="22"/>
                  <w:ind w:left="20"/>
                </w:pPr>
                <w:r>
                  <w:rPr>
                    <w:color w:val="231F20"/>
                    <w:w w:val="105"/>
                  </w:rPr>
                  <w:t>Annex A-</w:t>
                </w:r>
                <w:r>
                  <w:rPr/>
                  <w:fldChar w:fldCharType="begin"/>
                </w:r>
                <w:r>
                  <w:rPr>
                    <w:color w:val="231F20"/>
                    <w:w w:val="105"/>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lowerLetter"/>
      <w:lvlText w:val="(%1)"/>
      <w:lvlJc w:val="left"/>
      <w:pPr>
        <w:ind w:left="1688" w:hanging="400"/>
        <w:jc w:val="left"/>
      </w:pPr>
      <w:rPr>
        <w:rFonts w:hint="default" w:ascii="Times New Roman" w:hAnsi="Times New Roman" w:eastAsia="Times New Roman" w:cs="Times New Roman"/>
        <w:color w:val="231F20"/>
        <w:w w:val="104"/>
        <w:sz w:val="20"/>
        <w:szCs w:val="20"/>
      </w:rPr>
    </w:lvl>
    <w:lvl w:ilvl="1">
      <w:start w:val="0"/>
      <w:numFmt w:val="bullet"/>
      <w:lvlText w:val="•"/>
      <w:lvlJc w:val="left"/>
      <w:pPr>
        <w:ind w:left="2670" w:hanging="400"/>
      </w:pPr>
      <w:rPr>
        <w:rFonts w:hint="default"/>
      </w:rPr>
    </w:lvl>
    <w:lvl w:ilvl="2">
      <w:start w:val="0"/>
      <w:numFmt w:val="bullet"/>
      <w:lvlText w:val="•"/>
      <w:lvlJc w:val="left"/>
      <w:pPr>
        <w:ind w:left="3660" w:hanging="400"/>
      </w:pPr>
      <w:rPr>
        <w:rFonts w:hint="default"/>
      </w:rPr>
    </w:lvl>
    <w:lvl w:ilvl="3">
      <w:start w:val="0"/>
      <w:numFmt w:val="bullet"/>
      <w:lvlText w:val="•"/>
      <w:lvlJc w:val="left"/>
      <w:pPr>
        <w:ind w:left="4650" w:hanging="400"/>
      </w:pPr>
      <w:rPr>
        <w:rFonts w:hint="default"/>
      </w:rPr>
    </w:lvl>
    <w:lvl w:ilvl="4">
      <w:start w:val="0"/>
      <w:numFmt w:val="bullet"/>
      <w:lvlText w:val="•"/>
      <w:lvlJc w:val="left"/>
      <w:pPr>
        <w:ind w:left="5640" w:hanging="400"/>
      </w:pPr>
      <w:rPr>
        <w:rFonts w:hint="default"/>
      </w:rPr>
    </w:lvl>
    <w:lvl w:ilvl="5">
      <w:start w:val="0"/>
      <w:numFmt w:val="bullet"/>
      <w:lvlText w:val="•"/>
      <w:lvlJc w:val="left"/>
      <w:pPr>
        <w:ind w:left="6630" w:hanging="400"/>
      </w:pPr>
      <w:rPr>
        <w:rFonts w:hint="default"/>
      </w:rPr>
    </w:lvl>
    <w:lvl w:ilvl="6">
      <w:start w:val="0"/>
      <w:numFmt w:val="bullet"/>
      <w:lvlText w:val="•"/>
      <w:lvlJc w:val="left"/>
      <w:pPr>
        <w:ind w:left="7620" w:hanging="400"/>
      </w:pPr>
      <w:rPr>
        <w:rFonts w:hint="default"/>
      </w:rPr>
    </w:lvl>
    <w:lvl w:ilvl="7">
      <w:start w:val="0"/>
      <w:numFmt w:val="bullet"/>
      <w:lvlText w:val="•"/>
      <w:lvlJc w:val="left"/>
      <w:pPr>
        <w:ind w:left="8610" w:hanging="400"/>
      </w:pPr>
      <w:rPr>
        <w:rFonts w:hint="default"/>
      </w:rPr>
    </w:lvl>
    <w:lvl w:ilvl="8">
      <w:start w:val="0"/>
      <w:numFmt w:val="bullet"/>
      <w:lvlText w:val="•"/>
      <w:lvlJc w:val="left"/>
      <w:pPr>
        <w:ind w:left="9600" w:hanging="400"/>
      </w:pPr>
      <w:rPr>
        <w:rFonts w:hint="default"/>
      </w:rPr>
    </w:lvl>
  </w:abstractNum>
  <w:abstractNum w:abstractNumId="13">
    <w:multiLevelType w:val="hybridMultilevel"/>
    <w:lvl w:ilvl="0">
      <w:start w:val="1"/>
      <w:numFmt w:val="decimal"/>
      <w:lvlText w:val="[%1]"/>
      <w:lvlJc w:val="left"/>
      <w:pPr>
        <w:ind w:left="285" w:hanging="133"/>
        <w:jc w:val="left"/>
      </w:pPr>
      <w:rPr>
        <w:rFonts w:hint="default" w:ascii="Arial" w:hAnsi="Arial" w:eastAsia="Arial" w:cs="Arial"/>
        <w:color w:val="231F20"/>
        <w:w w:val="94"/>
        <w:sz w:val="10"/>
        <w:szCs w:val="10"/>
      </w:rPr>
    </w:lvl>
    <w:lvl w:ilvl="1">
      <w:start w:val="1"/>
      <w:numFmt w:val="lowerLetter"/>
      <w:lvlText w:val="(%2)"/>
      <w:lvlJc w:val="left"/>
      <w:pPr>
        <w:ind w:left="1688" w:hanging="400"/>
        <w:jc w:val="left"/>
      </w:pPr>
      <w:rPr>
        <w:rFonts w:hint="default" w:ascii="Times New Roman" w:hAnsi="Times New Roman" w:eastAsia="Times New Roman" w:cs="Times New Roman"/>
        <w:color w:val="231F20"/>
        <w:w w:val="104"/>
        <w:sz w:val="20"/>
        <w:szCs w:val="20"/>
      </w:rPr>
    </w:lvl>
    <w:lvl w:ilvl="2">
      <w:start w:val="0"/>
      <w:numFmt w:val="bullet"/>
      <w:lvlText w:val="•"/>
      <w:lvlJc w:val="left"/>
      <w:pPr>
        <w:ind w:left="1984" w:hanging="400"/>
      </w:pPr>
      <w:rPr>
        <w:rFonts w:hint="default"/>
      </w:rPr>
    </w:lvl>
    <w:lvl w:ilvl="3">
      <w:start w:val="0"/>
      <w:numFmt w:val="bullet"/>
      <w:lvlText w:val="•"/>
      <w:lvlJc w:val="left"/>
      <w:pPr>
        <w:ind w:left="2288" w:hanging="400"/>
      </w:pPr>
      <w:rPr>
        <w:rFonts w:hint="default"/>
      </w:rPr>
    </w:lvl>
    <w:lvl w:ilvl="4">
      <w:start w:val="0"/>
      <w:numFmt w:val="bullet"/>
      <w:lvlText w:val="•"/>
      <w:lvlJc w:val="left"/>
      <w:pPr>
        <w:ind w:left="2593" w:hanging="400"/>
      </w:pPr>
      <w:rPr>
        <w:rFonts w:hint="default"/>
      </w:rPr>
    </w:lvl>
    <w:lvl w:ilvl="5">
      <w:start w:val="0"/>
      <w:numFmt w:val="bullet"/>
      <w:lvlText w:val="•"/>
      <w:lvlJc w:val="left"/>
      <w:pPr>
        <w:ind w:left="2897" w:hanging="400"/>
      </w:pPr>
      <w:rPr>
        <w:rFonts w:hint="default"/>
      </w:rPr>
    </w:lvl>
    <w:lvl w:ilvl="6">
      <w:start w:val="0"/>
      <w:numFmt w:val="bullet"/>
      <w:lvlText w:val="•"/>
      <w:lvlJc w:val="left"/>
      <w:pPr>
        <w:ind w:left="3201" w:hanging="400"/>
      </w:pPr>
      <w:rPr>
        <w:rFonts w:hint="default"/>
      </w:rPr>
    </w:lvl>
    <w:lvl w:ilvl="7">
      <w:start w:val="0"/>
      <w:numFmt w:val="bullet"/>
      <w:lvlText w:val="•"/>
      <w:lvlJc w:val="left"/>
      <w:pPr>
        <w:ind w:left="3506" w:hanging="400"/>
      </w:pPr>
      <w:rPr>
        <w:rFonts w:hint="default"/>
      </w:rPr>
    </w:lvl>
    <w:lvl w:ilvl="8">
      <w:start w:val="0"/>
      <w:numFmt w:val="bullet"/>
      <w:lvlText w:val="•"/>
      <w:lvlJc w:val="left"/>
      <w:pPr>
        <w:ind w:left="3810" w:hanging="400"/>
      </w:pPr>
      <w:rPr>
        <w:rFonts w:hint="default"/>
      </w:rPr>
    </w:lvl>
  </w:abstractNum>
  <w:abstractNum w:abstractNumId="12">
    <w:multiLevelType w:val="hybridMultilevel"/>
    <w:lvl w:ilvl="0">
      <w:start w:val="3"/>
      <w:numFmt w:val="decimal"/>
      <w:lvlText w:val="%1."/>
      <w:lvlJc w:val="left"/>
      <w:pPr>
        <w:ind w:left="378" w:hanging="226"/>
        <w:jc w:val="left"/>
      </w:pPr>
      <w:rPr>
        <w:rFonts w:hint="default" w:ascii="Arial" w:hAnsi="Arial" w:eastAsia="Arial" w:cs="Arial"/>
        <w:color w:val="231F20"/>
        <w:w w:val="90"/>
        <w:sz w:val="10"/>
        <w:szCs w:val="10"/>
      </w:rPr>
    </w:lvl>
    <w:lvl w:ilvl="1">
      <w:start w:val="0"/>
      <w:numFmt w:val="bullet"/>
      <w:lvlText w:val="•"/>
      <w:lvlJc w:val="left"/>
      <w:pPr>
        <w:ind w:left="1335" w:hanging="104"/>
      </w:pPr>
      <w:rPr>
        <w:rFonts w:hint="default" w:ascii="Arial" w:hAnsi="Arial" w:eastAsia="Arial" w:cs="Arial"/>
        <w:color w:val="231F20"/>
        <w:w w:val="148"/>
        <w:sz w:val="13"/>
        <w:szCs w:val="13"/>
      </w:rPr>
    </w:lvl>
    <w:lvl w:ilvl="2">
      <w:start w:val="0"/>
      <w:numFmt w:val="bullet"/>
      <w:lvlText w:val="•"/>
      <w:lvlJc w:val="left"/>
      <w:pPr>
        <w:ind w:left="948" w:hanging="104"/>
      </w:pPr>
      <w:rPr>
        <w:rFonts w:hint="default"/>
      </w:rPr>
    </w:lvl>
    <w:lvl w:ilvl="3">
      <w:start w:val="0"/>
      <w:numFmt w:val="bullet"/>
      <w:lvlText w:val="•"/>
      <w:lvlJc w:val="left"/>
      <w:pPr>
        <w:ind w:left="557" w:hanging="104"/>
      </w:pPr>
      <w:rPr>
        <w:rFonts w:hint="default"/>
      </w:rPr>
    </w:lvl>
    <w:lvl w:ilvl="4">
      <w:start w:val="0"/>
      <w:numFmt w:val="bullet"/>
      <w:lvlText w:val="•"/>
      <w:lvlJc w:val="left"/>
      <w:pPr>
        <w:ind w:left="166" w:hanging="104"/>
      </w:pPr>
      <w:rPr>
        <w:rFonts w:hint="default"/>
      </w:rPr>
    </w:lvl>
    <w:lvl w:ilvl="5">
      <w:start w:val="0"/>
      <w:numFmt w:val="bullet"/>
      <w:lvlText w:val="•"/>
      <w:lvlJc w:val="left"/>
      <w:pPr>
        <w:ind w:left="-225" w:hanging="104"/>
      </w:pPr>
      <w:rPr>
        <w:rFonts w:hint="default"/>
      </w:rPr>
    </w:lvl>
    <w:lvl w:ilvl="6">
      <w:start w:val="0"/>
      <w:numFmt w:val="bullet"/>
      <w:lvlText w:val="•"/>
      <w:lvlJc w:val="left"/>
      <w:pPr>
        <w:ind w:left="-616" w:hanging="104"/>
      </w:pPr>
      <w:rPr>
        <w:rFonts w:hint="default"/>
      </w:rPr>
    </w:lvl>
    <w:lvl w:ilvl="7">
      <w:start w:val="0"/>
      <w:numFmt w:val="bullet"/>
      <w:lvlText w:val="•"/>
      <w:lvlJc w:val="left"/>
      <w:pPr>
        <w:ind w:left="-1007" w:hanging="104"/>
      </w:pPr>
      <w:rPr>
        <w:rFonts w:hint="default"/>
      </w:rPr>
    </w:lvl>
    <w:lvl w:ilvl="8">
      <w:start w:val="0"/>
      <w:numFmt w:val="bullet"/>
      <w:lvlText w:val="•"/>
      <w:lvlJc w:val="left"/>
      <w:pPr>
        <w:ind w:left="-1398" w:hanging="104"/>
      </w:pPr>
      <w:rPr>
        <w:rFonts w:hint="default"/>
      </w:rPr>
    </w:lvl>
  </w:abstractNum>
  <w:abstractNum w:abstractNumId="11">
    <w:multiLevelType w:val="hybridMultilevel"/>
    <w:lvl w:ilvl="0">
      <w:start w:val="1"/>
      <w:numFmt w:val="decimal"/>
      <w:lvlText w:val="%1."/>
      <w:lvlJc w:val="left"/>
      <w:pPr>
        <w:ind w:left="1443" w:hanging="354"/>
        <w:jc w:val="left"/>
      </w:pPr>
      <w:rPr>
        <w:rFonts w:hint="default" w:ascii="Times New Roman" w:hAnsi="Times New Roman" w:eastAsia="Times New Roman" w:cs="Times New Roman"/>
        <w:b/>
        <w:bCs/>
        <w:color w:val="231F20"/>
        <w:w w:val="102"/>
        <w:sz w:val="20"/>
        <w:szCs w:val="20"/>
      </w:rPr>
    </w:lvl>
    <w:lvl w:ilvl="1">
      <w:start w:val="1"/>
      <w:numFmt w:val="lowerLetter"/>
      <w:lvlText w:val="%2."/>
      <w:lvlJc w:val="left"/>
      <w:pPr>
        <w:ind w:left="1888" w:hanging="400"/>
        <w:jc w:val="left"/>
      </w:pPr>
      <w:rPr>
        <w:rFonts w:hint="default" w:ascii="Times New Roman" w:hAnsi="Times New Roman" w:eastAsia="Times New Roman" w:cs="Times New Roman"/>
        <w:color w:val="231F20"/>
        <w:w w:val="110"/>
        <w:sz w:val="20"/>
        <w:szCs w:val="20"/>
      </w:rPr>
    </w:lvl>
    <w:lvl w:ilvl="2">
      <w:start w:val="0"/>
      <w:numFmt w:val="bullet"/>
      <w:lvlText w:val="•"/>
      <w:lvlJc w:val="left"/>
      <w:pPr>
        <w:ind w:left="2957" w:hanging="400"/>
      </w:pPr>
      <w:rPr>
        <w:rFonts w:hint="default"/>
      </w:rPr>
    </w:lvl>
    <w:lvl w:ilvl="3">
      <w:start w:val="0"/>
      <w:numFmt w:val="bullet"/>
      <w:lvlText w:val="•"/>
      <w:lvlJc w:val="left"/>
      <w:pPr>
        <w:ind w:left="4035" w:hanging="400"/>
      </w:pPr>
      <w:rPr>
        <w:rFonts w:hint="default"/>
      </w:rPr>
    </w:lvl>
    <w:lvl w:ilvl="4">
      <w:start w:val="0"/>
      <w:numFmt w:val="bullet"/>
      <w:lvlText w:val="•"/>
      <w:lvlJc w:val="left"/>
      <w:pPr>
        <w:ind w:left="5113" w:hanging="400"/>
      </w:pPr>
      <w:rPr>
        <w:rFonts w:hint="default"/>
      </w:rPr>
    </w:lvl>
    <w:lvl w:ilvl="5">
      <w:start w:val="0"/>
      <w:numFmt w:val="bullet"/>
      <w:lvlText w:val="•"/>
      <w:lvlJc w:val="left"/>
      <w:pPr>
        <w:ind w:left="6191" w:hanging="400"/>
      </w:pPr>
      <w:rPr>
        <w:rFonts w:hint="default"/>
      </w:rPr>
    </w:lvl>
    <w:lvl w:ilvl="6">
      <w:start w:val="0"/>
      <w:numFmt w:val="bullet"/>
      <w:lvlText w:val="•"/>
      <w:lvlJc w:val="left"/>
      <w:pPr>
        <w:ind w:left="7268" w:hanging="400"/>
      </w:pPr>
      <w:rPr>
        <w:rFonts w:hint="default"/>
      </w:rPr>
    </w:lvl>
    <w:lvl w:ilvl="7">
      <w:start w:val="0"/>
      <w:numFmt w:val="bullet"/>
      <w:lvlText w:val="•"/>
      <w:lvlJc w:val="left"/>
      <w:pPr>
        <w:ind w:left="8346" w:hanging="400"/>
      </w:pPr>
      <w:rPr>
        <w:rFonts w:hint="default"/>
      </w:rPr>
    </w:lvl>
    <w:lvl w:ilvl="8">
      <w:start w:val="0"/>
      <w:numFmt w:val="bullet"/>
      <w:lvlText w:val="•"/>
      <w:lvlJc w:val="left"/>
      <w:pPr>
        <w:ind w:left="9424" w:hanging="400"/>
      </w:pPr>
      <w:rPr>
        <w:rFonts w:hint="default"/>
      </w:rPr>
    </w:lvl>
  </w:abstractNum>
  <w:abstractNum w:abstractNumId="10">
    <w:multiLevelType w:val="hybridMultilevel"/>
    <w:lvl w:ilvl="0">
      <w:start w:val="0"/>
      <w:numFmt w:val="bullet"/>
      <w:lvlText w:val="•"/>
      <w:lvlJc w:val="left"/>
      <w:pPr>
        <w:ind w:left="2487" w:hanging="200"/>
      </w:pPr>
      <w:rPr>
        <w:rFonts w:hint="default" w:ascii="Times New Roman" w:hAnsi="Times New Roman" w:eastAsia="Times New Roman" w:cs="Times New Roman"/>
        <w:color w:val="231F20"/>
        <w:w w:val="100"/>
        <w:sz w:val="20"/>
        <w:szCs w:val="20"/>
      </w:rPr>
    </w:lvl>
    <w:lvl w:ilvl="1">
      <w:start w:val="0"/>
      <w:numFmt w:val="bullet"/>
      <w:lvlText w:val="•"/>
      <w:lvlJc w:val="left"/>
      <w:pPr>
        <w:ind w:left="3390" w:hanging="200"/>
      </w:pPr>
      <w:rPr>
        <w:rFonts w:hint="default"/>
      </w:rPr>
    </w:lvl>
    <w:lvl w:ilvl="2">
      <w:start w:val="0"/>
      <w:numFmt w:val="bullet"/>
      <w:lvlText w:val="•"/>
      <w:lvlJc w:val="left"/>
      <w:pPr>
        <w:ind w:left="4300" w:hanging="200"/>
      </w:pPr>
      <w:rPr>
        <w:rFonts w:hint="default"/>
      </w:rPr>
    </w:lvl>
    <w:lvl w:ilvl="3">
      <w:start w:val="0"/>
      <w:numFmt w:val="bullet"/>
      <w:lvlText w:val="•"/>
      <w:lvlJc w:val="left"/>
      <w:pPr>
        <w:ind w:left="5210" w:hanging="200"/>
      </w:pPr>
      <w:rPr>
        <w:rFonts w:hint="default"/>
      </w:rPr>
    </w:lvl>
    <w:lvl w:ilvl="4">
      <w:start w:val="0"/>
      <w:numFmt w:val="bullet"/>
      <w:lvlText w:val="•"/>
      <w:lvlJc w:val="left"/>
      <w:pPr>
        <w:ind w:left="6120" w:hanging="200"/>
      </w:pPr>
      <w:rPr>
        <w:rFonts w:hint="default"/>
      </w:rPr>
    </w:lvl>
    <w:lvl w:ilvl="5">
      <w:start w:val="0"/>
      <w:numFmt w:val="bullet"/>
      <w:lvlText w:val="•"/>
      <w:lvlJc w:val="left"/>
      <w:pPr>
        <w:ind w:left="7030" w:hanging="200"/>
      </w:pPr>
      <w:rPr>
        <w:rFonts w:hint="default"/>
      </w:rPr>
    </w:lvl>
    <w:lvl w:ilvl="6">
      <w:start w:val="0"/>
      <w:numFmt w:val="bullet"/>
      <w:lvlText w:val="•"/>
      <w:lvlJc w:val="left"/>
      <w:pPr>
        <w:ind w:left="7940" w:hanging="200"/>
      </w:pPr>
      <w:rPr>
        <w:rFonts w:hint="default"/>
      </w:rPr>
    </w:lvl>
    <w:lvl w:ilvl="7">
      <w:start w:val="0"/>
      <w:numFmt w:val="bullet"/>
      <w:lvlText w:val="•"/>
      <w:lvlJc w:val="left"/>
      <w:pPr>
        <w:ind w:left="8850" w:hanging="200"/>
      </w:pPr>
      <w:rPr>
        <w:rFonts w:hint="default"/>
      </w:rPr>
    </w:lvl>
    <w:lvl w:ilvl="8">
      <w:start w:val="0"/>
      <w:numFmt w:val="bullet"/>
      <w:lvlText w:val="•"/>
      <w:lvlJc w:val="left"/>
      <w:pPr>
        <w:ind w:left="9760" w:hanging="200"/>
      </w:pPr>
      <w:rPr>
        <w:rFonts w:hint="default"/>
      </w:rPr>
    </w:lvl>
  </w:abstractNum>
  <w:abstractNum w:abstractNumId="9">
    <w:multiLevelType w:val="hybridMultilevel"/>
    <w:lvl w:ilvl="0">
      <w:start w:val="0"/>
      <w:numFmt w:val="bullet"/>
      <w:lvlText w:val="•"/>
      <w:lvlJc w:val="left"/>
      <w:pPr>
        <w:ind w:left="2087" w:hanging="200"/>
      </w:pPr>
      <w:rPr>
        <w:rFonts w:hint="default" w:ascii="Times New Roman" w:hAnsi="Times New Roman" w:eastAsia="Times New Roman" w:cs="Times New Roman"/>
        <w:color w:val="231F20"/>
        <w:w w:val="100"/>
        <w:sz w:val="20"/>
        <w:szCs w:val="20"/>
      </w:rPr>
    </w:lvl>
    <w:lvl w:ilvl="1">
      <w:start w:val="0"/>
      <w:numFmt w:val="bullet"/>
      <w:lvlText w:val="•"/>
      <w:lvlJc w:val="left"/>
      <w:pPr>
        <w:ind w:left="3030" w:hanging="200"/>
      </w:pPr>
      <w:rPr>
        <w:rFonts w:hint="default"/>
      </w:rPr>
    </w:lvl>
    <w:lvl w:ilvl="2">
      <w:start w:val="0"/>
      <w:numFmt w:val="bullet"/>
      <w:lvlText w:val="•"/>
      <w:lvlJc w:val="left"/>
      <w:pPr>
        <w:ind w:left="3980" w:hanging="200"/>
      </w:pPr>
      <w:rPr>
        <w:rFonts w:hint="default"/>
      </w:rPr>
    </w:lvl>
    <w:lvl w:ilvl="3">
      <w:start w:val="0"/>
      <w:numFmt w:val="bullet"/>
      <w:lvlText w:val="•"/>
      <w:lvlJc w:val="left"/>
      <w:pPr>
        <w:ind w:left="4930" w:hanging="200"/>
      </w:pPr>
      <w:rPr>
        <w:rFonts w:hint="default"/>
      </w:rPr>
    </w:lvl>
    <w:lvl w:ilvl="4">
      <w:start w:val="0"/>
      <w:numFmt w:val="bullet"/>
      <w:lvlText w:val="•"/>
      <w:lvlJc w:val="left"/>
      <w:pPr>
        <w:ind w:left="5880" w:hanging="200"/>
      </w:pPr>
      <w:rPr>
        <w:rFonts w:hint="default"/>
      </w:rPr>
    </w:lvl>
    <w:lvl w:ilvl="5">
      <w:start w:val="0"/>
      <w:numFmt w:val="bullet"/>
      <w:lvlText w:val="•"/>
      <w:lvlJc w:val="left"/>
      <w:pPr>
        <w:ind w:left="6830" w:hanging="200"/>
      </w:pPr>
      <w:rPr>
        <w:rFonts w:hint="default"/>
      </w:rPr>
    </w:lvl>
    <w:lvl w:ilvl="6">
      <w:start w:val="0"/>
      <w:numFmt w:val="bullet"/>
      <w:lvlText w:val="•"/>
      <w:lvlJc w:val="left"/>
      <w:pPr>
        <w:ind w:left="7780" w:hanging="200"/>
      </w:pPr>
      <w:rPr>
        <w:rFonts w:hint="default"/>
      </w:rPr>
    </w:lvl>
    <w:lvl w:ilvl="7">
      <w:start w:val="0"/>
      <w:numFmt w:val="bullet"/>
      <w:lvlText w:val="•"/>
      <w:lvlJc w:val="left"/>
      <w:pPr>
        <w:ind w:left="8730" w:hanging="200"/>
      </w:pPr>
      <w:rPr>
        <w:rFonts w:hint="default"/>
      </w:rPr>
    </w:lvl>
    <w:lvl w:ilvl="8">
      <w:start w:val="0"/>
      <w:numFmt w:val="bullet"/>
      <w:lvlText w:val="•"/>
      <w:lvlJc w:val="left"/>
      <w:pPr>
        <w:ind w:left="9680" w:hanging="200"/>
      </w:pPr>
      <w:rPr>
        <w:rFonts w:hint="default"/>
      </w:rPr>
    </w:lvl>
  </w:abstractNum>
  <w:abstractNum w:abstractNumId="8">
    <w:multiLevelType w:val="hybridMultilevel"/>
    <w:lvl w:ilvl="0">
      <w:start w:val="0"/>
      <w:numFmt w:val="bullet"/>
      <w:lvlText w:val="—"/>
      <w:lvlJc w:val="left"/>
      <w:pPr>
        <w:ind w:left="339" w:hanging="254"/>
      </w:pPr>
      <w:rPr>
        <w:rFonts w:hint="default" w:ascii="Times New Roman" w:hAnsi="Times New Roman" w:eastAsia="Times New Roman" w:cs="Times New Roman"/>
        <w:color w:val="231F20"/>
        <w:w w:val="99"/>
        <w:sz w:val="20"/>
        <w:szCs w:val="20"/>
      </w:rPr>
    </w:lvl>
    <w:lvl w:ilvl="1">
      <w:start w:val="0"/>
      <w:numFmt w:val="bullet"/>
      <w:lvlText w:val="•"/>
      <w:lvlJc w:val="left"/>
      <w:pPr>
        <w:ind w:left="973" w:hanging="254"/>
      </w:pPr>
      <w:rPr>
        <w:rFonts w:hint="default"/>
      </w:rPr>
    </w:lvl>
    <w:lvl w:ilvl="2">
      <w:start w:val="0"/>
      <w:numFmt w:val="bullet"/>
      <w:lvlText w:val="•"/>
      <w:lvlJc w:val="left"/>
      <w:pPr>
        <w:ind w:left="1607" w:hanging="254"/>
      </w:pPr>
      <w:rPr>
        <w:rFonts w:hint="default"/>
      </w:rPr>
    </w:lvl>
    <w:lvl w:ilvl="3">
      <w:start w:val="0"/>
      <w:numFmt w:val="bullet"/>
      <w:lvlText w:val="•"/>
      <w:lvlJc w:val="left"/>
      <w:pPr>
        <w:ind w:left="2241" w:hanging="254"/>
      </w:pPr>
      <w:rPr>
        <w:rFonts w:hint="default"/>
      </w:rPr>
    </w:lvl>
    <w:lvl w:ilvl="4">
      <w:start w:val="0"/>
      <w:numFmt w:val="bullet"/>
      <w:lvlText w:val="•"/>
      <w:lvlJc w:val="left"/>
      <w:pPr>
        <w:ind w:left="2875" w:hanging="254"/>
      </w:pPr>
      <w:rPr>
        <w:rFonts w:hint="default"/>
      </w:rPr>
    </w:lvl>
    <w:lvl w:ilvl="5">
      <w:start w:val="0"/>
      <w:numFmt w:val="bullet"/>
      <w:lvlText w:val="•"/>
      <w:lvlJc w:val="left"/>
      <w:pPr>
        <w:ind w:left="3509" w:hanging="254"/>
      </w:pPr>
      <w:rPr>
        <w:rFonts w:hint="default"/>
      </w:rPr>
    </w:lvl>
    <w:lvl w:ilvl="6">
      <w:start w:val="0"/>
      <w:numFmt w:val="bullet"/>
      <w:lvlText w:val="•"/>
      <w:lvlJc w:val="left"/>
      <w:pPr>
        <w:ind w:left="4143" w:hanging="254"/>
      </w:pPr>
      <w:rPr>
        <w:rFonts w:hint="default"/>
      </w:rPr>
    </w:lvl>
    <w:lvl w:ilvl="7">
      <w:start w:val="0"/>
      <w:numFmt w:val="bullet"/>
      <w:lvlText w:val="•"/>
      <w:lvlJc w:val="left"/>
      <w:pPr>
        <w:ind w:left="4776" w:hanging="254"/>
      </w:pPr>
      <w:rPr>
        <w:rFonts w:hint="default"/>
      </w:rPr>
    </w:lvl>
    <w:lvl w:ilvl="8">
      <w:start w:val="0"/>
      <w:numFmt w:val="bullet"/>
      <w:lvlText w:val="•"/>
      <w:lvlJc w:val="left"/>
      <w:pPr>
        <w:ind w:left="5410" w:hanging="254"/>
      </w:pPr>
      <w:rPr>
        <w:rFonts w:hint="default"/>
      </w:rPr>
    </w:lvl>
  </w:abstractNum>
  <w:abstractNum w:abstractNumId="7">
    <w:multiLevelType w:val="hybridMultilevel"/>
    <w:lvl w:ilvl="0">
      <w:start w:val="0"/>
      <w:numFmt w:val="bullet"/>
      <w:lvlText w:val="—"/>
      <w:lvlJc w:val="left"/>
      <w:pPr>
        <w:ind w:left="3393" w:hanging="254"/>
      </w:pPr>
      <w:rPr>
        <w:rFonts w:hint="default" w:ascii="Times New Roman" w:hAnsi="Times New Roman" w:eastAsia="Times New Roman" w:cs="Times New Roman"/>
        <w:color w:val="231F20"/>
        <w:w w:val="99"/>
        <w:sz w:val="20"/>
        <w:szCs w:val="20"/>
      </w:rPr>
    </w:lvl>
    <w:lvl w:ilvl="1">
      <w:start w:val="0"/>
      <w:numFmt w:val="bullet"/>
      <w:lvlText w:val="•"/>
      <w:lvlJc w:val="left"/>
      <w:pPr>
        <w:ind w:left="3546" w:hanging="254"/>
      </w:pPr>
      <w:rPr>
        <w:rFonts w:hint="default"/>
      </w:rPr>
    </w:lvl>
    <w:lvl w:ilvl="2">
      <w:start w:val="0"/>
      <w:numFmt w:val="bullet"/>
      <w:lvlText w:val="•"/>
      <w:lvlJc w:val="left"/>
      <w:pPr>
        <w:ind w:left="3692" w:hanging="254"/>
      </w:pPr>
      <w:rPr>
        <w:rFonts w:hint="default"/>
      </w:rPr>
    </w:lvl>
    <w:lvl w:ilvl="3">
      <w:start w:val="0"/>
      <w:numFmt w:val="bullet"/>
      <w:lvlText w:val="•"/>
      <w:lvlJc w:val="left"/>
      <w:pPr>
        <w:ind w:left="3838" w:hanging="254"/>
      </w:pPr>
      <w:rPr>
        <w:rFonts w:hint="default"/>
      </w:rPr>
    </w:lvl>
    <w:lvl w:ilvl="4">
      <w:start w:val="0"/>
      <w:numFmt w:val="bullet"/>
      <w:lvlText w:val="•"/>
      <w:lvlJc w:val="left"/>
      <w:pPr>
        <w:ind w:left="3984" w:hanging="254"/>
      </w:pPr>
      <w:rPr>
        <w:rFonts w:hint="default"/>
      </w:rPr>
    </w:lvl>
    <w:lvl w:ilvl="5">
      <w:start w:val="0"/>
      <w:numFmt w:val="bullet"/>
      <w:lvlText w:val="•"/>
      <w:lvlJc w:val="left"/>
      <w:pPr>
        <w:ind w:left="4130" w:hanging="254"/>
      </w:pPr>
      <w:rPr>
        <w:rFonts w:hint="default"/>
      </w:rPr>
    </w:lvl>
    <w:lvl w:ilvl="6">
      <w:start w:val="0"/>
      <w:numFmt w:val="bullet"/>
      <w:lvlText w:val="•"/>
      <w:lvlJc w:val="left"/>
      <w:pPr>
        <w:ind w:left="4276" w:hanging="254"/>
      </w:pPr>
      <w:rPr>
        <w:rFonts w:hint="default"/>
      </w:rPr>
    </w:lvl>
    <w:lvl w:ilvl="7">
      <w:start w:val="0"/>
      <w:numFmt w:val="bullet"/>
      <w:lvlText w:val="•"/>
      <w:lvlJc w:val="left"/>
      <w:pPr>
        <w:ind w:left="4423" w:hanging="254"/>
      </w:pPr>
      <w:rPr>
        <w:rFonts w:hint="default"/>
      </w:rPr>
    </w:lvl>
    <w:lvl w:ilvl="8">
      <w:start w:val="0"/>
      <w:numFmt w:val="bullet"/>
      <w:lvlText w:val="•"/>
      <w:lvlJc w:val="left"/>
      <w:pPr>
        <w:ind w:left="4569" w:hanging="254"/>
      </w:pPr>
      <w:rPr>
        <w:rFonts w:hint="default"/>
      </w:rPr>
    </w:lvl>
  </w:abstractNum>
  <w:abstractNum w:abstractNumId="6">
    <w:multiLevelType w:val="hybridMultilevel"/>
    <w:lvl w:ilvl="0">
      <w:start w:val="0"/>
      <w:numFmt w:val="bullet"/>
      <w:lvlText w:val="•"/>
      <w:lvlJc w:val="left"/>
      <w:pPr>
        <w:ind w:left="2087" w:hanging="200"/>
      </w:pPr>
      <w:rPr>
        <w:rFonts w:hint="default" w:ascii="Times New Roman" w:hAnsi="Times New Roman" w:eastAsia="Times New Roman" w:cs="Times New Roman"/>
        <w:color w:val="231F20"/>
        <w:w w:val="100"/>
        <w:sz w:val="20"/>
        <w:szCs w:val="20"/>
      </w:rPr>
    </w:lvl>
    <w:lvl w:ilvl="1">
      <w:start w:val="0"/>
      <w:numFmt w:val="bullet"/>
      <w:lvlText w:val="•"/>
      <w:lvlJc w:val="left"/>
      <w:pPr>
        <w:ind w:left="3030" w:hanging="200"/>
      </w:pPr>
      <w:rPr>
        <w:rFonts w:hint="default"/>
      </w:rPr>
    </w:lvl>
    <w:lvl w:ilvl="2">
      <w:start w:val="0"/>
      <w:numFmt w:val="bullet"/>
      <w:lvlText w:val="•"/>
      <w:lvlJc w:val="left"/>
      <w:pPr>
        <w:ind w:left="3980" w:hanging="200"/>
      </w:pPr>
      <w:rPr>
        <w:rFonts w:hint="default"/>
      </w:rPr>
    </w:lvl>
    <w:lvl w:ilvl="3">
      <w:start w:val="0"/>
      <w:numFmt w:val="bullet"/>
      <w:lvlText w:val="•"/>
      <w:lvlJc w:val="left"/>
      <w:pPr>
        <w:ind w:left="4930" w:hanging="200"/>
      </w:pPr>
      <w:rPr>
        <w:rFonts w:hint="default"/>
      </w:rPr>
    </w:lvl>
    <w:lvl w:ilvl="4">
      <w:start w:val="0"/>
      <w:numFmt w:val="bullet"/>
      <w:lvlText w:val="•"/>
      <w:lvlJc w:val="left"/>
      <w:pPr>
        <w:ind w:left="5880" w:hanging="200"/>
      </w:pPr>
      <w:rPr>
        <w:rFonts w:hint="default"/>
      </w:rPr>
    </w:lvl>
    <w:lvl w:ilvl="5">
      <w:start w:val="0"/>
      <w:numFmt w:val="bullet"/>
      <w:lvlText w:val="•"/>
      <w:lvlJc w:val="left"/>
      <w:pPr>
        <w:ind w:left="6830" w:hanging="200"/>
      </w:pPr>
      <w:rPr>
        <w:rFonts w:hint="default"/>
      </w:rPr>
    </w:lvl>
    <w:lvl w:ilvl="6">
      <w:start w:val="0"/>
      <w:numFmt w:val="bullet"/>
      <w:lvlText w:val="•"/>
      <w:lvlJc w:val="left"/>
      <w:pPr>
        <w:ind w:left="7780" w:hanging="200"/>
      </w:pPr>
      <w:rPr>
        <w:rFonts w:hint="default"/>
      </w:rPr>
    </w:lvl>
    <w:lvl w:ilvl="7">
      <w:start w:val="0"/>
      <w:numFmt w:val="bullet"/>
      <w:lvlText w:val="•"/>
      <w:lvlJc w:val="left"/>
      <w:pPr>
        <w:ind w:left="8730" w:hanging="200"/>
      </w:pPr>
      <w:rPr>
        <w:rFonts w:hint="default"/>
      </w:rPr>
    </w:lvl>
    <w:lvl w:ilvl="8">
      <w:start w:val="0"/>
      <w:numFmt w:val="bullet"/>
      <w:lvlText w:val="•"/>
      <w:lvlJc w:val="left"/>
      <w:pPr>
        <w:ind w:left="9680" w:hanging="200"/>
      </w:pPr>
      <w:rPr>
        <w:rFonts w:hint="default"/>
      </w:rPr>
    </w:lvl>
  </w:abstractNum>
  <w:abstractNum w:abstractNumId="5">
    <w:multiLevelType w:val="hybridMultilevel"/>
    <w:lvl w:ilvl="0">
      <w:start w:val="5"/>
      <w:numFmt w:val="decimal"/>
      <w:lvlText w:val="%1"/>
      <w:lvlJc w:val="left"/>
      <w:pPr>
        <w:ind w:left="2067" w:hanging="579"/>
        <w:jc w:val="left"/>
      </w:pPr>
      <w:rPr>
        <w:rFonts w:hint="default"/>
      </w:rPr>
    </w:lvl>
    <w:lvl w:ilvl="1">
      <w:start w:val="1"/>
      <w:numFmt w:val="decimal"/>
      <w:lvlText w:val="%1.%2"/>
      <w:lvlJc w:val="left"/>
      <w:pPr>
        <w:ind w:left="2067" w:hanging="579"/>
        <w:jc w:val="left"/>
      </w:pPr>
      <w:rPr>
        <w:rFonts w:hint="default"/>
      </w:rPr>
    </w:lvl>
    <w:lvl w:ilvl="2">
      <w:start w:val="1"/>
      <w:numFmt w:val="decimal"/>
      <w:lvlText w:val="%1.%2.%3."/>
      <w:lvlJc w:val="left"/>
      <w:pPr>
        <w:ind w:left="2067" w:hanging="579"/>
        <w:jc w:val="left"/>
      </w:pPr>
      <w:rPr>
        <w:rFonts w:hint="default" w:ascii="Times New Roman" w:hAnsi="Times New Roman" w:eastAsia="Times New Roman" w:cs="Times New Roman"/>
        <w:color w:val="231F20"/>
        <w:w w:val="102"/>
        <w:sz w:val="20"/>
        <w:szCs w:val="20"/>
      </w:rPr>
    </w:lvl>
    <w:lvl w:ilvl="3">
      <w:start w:val="0"/>
      <w:numFmt w:val="bullet"/>
      <w:lvlText w:val="•"/>
      <w:lvlJc w:val="left"/>
      <w:pPr>
        <w:ind w:left="4916" w:hanging="579"/>
      </w:pPr>
      <w:rPr>
        <w:rFonts w:hint="default"/>
      </w:rPr>
    </w:lvl>
    <w:lvl w:ilvl="4">
      <w:start w:val="0"/>
      <w:numFmt w:val="bullet"/>
      <w:lvlText w:val="•"/>
      <w:lvlJc w:val="left"/>
      <w:pPr>
        <w:ind w:left="5868" w:hanging="579"/>
      </w:pPr>
      <w:rPr>
        <w:rFonts w:hint="default"/>
      </w:rPr>
    </w:lvl>
    <w:lvl w:ilvl="5">
      <w:start w:val="0"/>
      <w:numFmt w:val="bullet"/>
      <w:lvlText w:val="•"/>
      <w:lvlJc w:val="left"/>
      <w:pPr>
        <w:ind w:left="6820" w:hanging="579"/>
      </w:pPr>
      <w:rPr>
        <w:rFonts w:hint="default"/>
      </w:rPr>
    </w:lvl>
    <w:lvl w:ilvl="6">
      <w:start w:val="0"/>
      <w:numFmt w:val="bullet"/>
      <w:lvlText w:val="•"/>
      <w:lvlJc w:val="left"/>
      <w:pPr>
        <w:ind w:left="7772" w:hanging="579"/>
      </w:pPr>
      <w:rPr>
        <w:rFonts w:hint="default"/>
      </w:rPr>
    </w:lvl>
    <w:lvl w:ilvl="7">
      <w:start w:val="0"/>
      <w:numFmt w:val="bullet"/>
      <w:lvlText w:val="•"/>
      <w:lvlJc w:val="left"/>
      <w:pPr>
        <w:ind w:left="8724" w:hanging="579"/>
      </w:pPr>
      <w:rPr>
        <w:rFonts w:hint="default"/>
      </w:rPr>
    </w:lvl>
    <w:lvl w:ilvl="8">
      <w:start w:val="0"/>
      <w:numFmt w:val="bullet"/>
      <w:lvlText w:val="•"/>
      <w:lvlJc w:val="left"/>
      <w:pPr>
        <w:ind w:left="9676" w:hanging="579"/>
      </w:pPr>
      <w:rPr>
        <w:rFonts w:hint="default"/>
      </w:rPr>
    </w:lvl>
  </w:abstractNum>
  <w:abstractNum w:abstractNumId="4">
    <w:multiLevelType w:val="hybridMultilevel"/>
    <w:lvl w:ilvl="0">
      <w:start w:val="1"/>
      <w:numFmt w:val="lowerLetter"/>
      <w:lvlText w:val="%1."/>
      <w:lvlJc w:val="left"/>
      <w:pPr>
        <w:ind w:left="4358" w:hanging="400"/>
        <w:jc w:val="left"/>
      </w:pPr>
      <w:rPr>
        <w:rFonts w:hint="default" w:ascii="Times New Roman" w:hAnsi="Times New Roman" w:eastAsia="Times New Roman" w:cs="Times New Roman"/>
        <w:color w:val="231F20"/>
        <w:w w:val="110"/>
        <w:sz w:val="20"/>
        <w:szCs w:val="20"/>
      </w:rPr>
    </w:lvl>
    <w:lvl w:ilvl="1">
      <w:start w:val="0"/>
      <w:numFmt w:val="bullet"/>
      <w:lvlText w:val="•"/>
      <w:lvlJc w:val="left"/>
      <w:pPr>
        <w:ind w:left="5082" w:hanging="400"/>
      </w:pPr>
      <w:rPr>
        <w:rFonts w:hint="default"/>
      </w:rPr>
    </w:lvl>
    <w:lvl w:ilvl="2">
      <w:start w:val="0"/>
      <w:numFmt w:val="bullet"/>
      <w:lvlText w:val="•"/>
      <w:lvlJc w:val="left"/>
      <w:pPr>
        <w:ind w:left="5804" w:hanging="400"/>
      </w:pPr>
      <w:rPr>
        <w:rFonts w:hint="default"/>
      </w:rPr>
    </w:lvl>
    <w:lvl w:ilvl="3">
      <w:start w:val="0"/>
      <w:numFmt w:val="bullet"/>
      <w:lvlText w:val="•"/>
      <w:lvlJc w:val="left"/>
      <w:pPr>
        <w:ind w:left="6526" w:hanging="400"/>
      </w:pPr>
      <w:rPr>
        <w:rFonts w:hint="default"/>
      </w:rPr>
    </w:lvl>
    <w:lvl w:ilvl="4">
      <w:start w:val="0"/>
      <w:numFmt w:val="bullet"/>
      <w:lvlText w:val="•"/>
      <w:lvlJc w:val="left"/>
      <w:pPr>
        <w:ind w:left="7248" w:hanging="400"/>
      </w:pPr>
      <w:rPr>
        <w:rFonts w:hint="default"/>
      </w:rPr>
    </w:lvl>
    <w:lvl w:ilvl="5">
      <w:start w:val="0"/>
      <w:numFmt w:val="bullet"/>
      <w:lvlText w:val="•"/>
      <w:lvlJc w:val="left"/>
      <w:pPr>
        <w:ind w:left="7970" w:hanging="400"/>
      </w:pPr>
      <w:rPr>
        <w:rFonts w:hint="default"/>
      </w:rPr>
    </w:lvl>
    <w:lvl w:ilvl="6">
      <w:start w:val="0"/>
      <w:numFmt w:val="bullet"/>
      <w:lvlText w:val="•"/>
      <w:lvlJc w:val="left"/>
      <w:pPr>
        <w:ind w:left="8692" w:hanging="400"/>
      </w:pPr>
      <w:rPr>
        <w:rFonts w:hint="default"/>
      </w:rPr>
    </w:lvl>
    <w:lvl w:ilvl="7">
      <w:start w:val="0"/>
      <w:numFmt w:val="bullet"/>
      <w:lvlText w:val="•"/>
      <w:lvlJc w:val="left"/>
      <w:pPr>
        <w:ind w:left="9414" w:hanging="400"/>
      </w:pPr>
      <w:rPr>
        <w:rFonts w:hint="default"/>
      </w:rPr>
    </w:lvl>
    <w:lvl w:ilvl="8">
      <w:start w:val="0"/>
      <w:numFmt w:val="bullet"/>
      <w:lvlText w:val="•"/>
      <w:lvlJc w:val="left"/>
      <w:pPr>
        <w:ind w:left="10136" w:hanging="400"/>
      </w:pPr>
      <w:rPr>
        <w:rFonts w:hint="default"/>
      </w:rPr>
    </w:lvl>
  </w:abstractNum>
  <w:abstractNum w:abstractNumId="3">
    <w:multiLevelType w:val="hybridMultilevel"/>
    <w:lvl w:ilvl="0">
      <w:start w:val="1"/>
      <w:numFmt w:val="decimal"/>
      <w:lvlText w:val="%1."/>
      <w:lvlJc w:val="left"/>
      <w:pPr>
        <w:ind w:left="1489" w:hanging="400"/>
        <w:jc w:val="left"/>
      </w:pPr>
      <w:rPr>
        <w:rFonts w:hint="default" w:ascii="Times New Roman" w:hAnsi="Times New Roman" w:eastAsia="Times New Roman" w:cs="Times New Roman"/>
        <w:b/>
        <w:bCs/>
        <w:color w:val="231F20"/>
        <w:w w:val="102"/>
        <w:sz w:val="20"/>
        <w:szCs w:val="20"/>
      </w:rPr>
    </w:lvl>
    <w:lvl w:ilvl="1">
      <w:start w:val="1"/>
      <w:numFmt w:val="decimal"/>
      <w:lvlText w:val="%1.%2."/>
      <w:lvlJc w:val="left"/>
      <w:pPr>
        <w:ind w:left="1888" w:hanging="400"/>
        <w:jc w:val="left"/>
      </w:pPr>
      <w:rPr>
        <w:rFonts w:hint="default" w:ascii="Times New Roman" w:hAnsi="Times New Roman" w:eastAsia="Times New Roman" w:cs="Times New Roman"/>
        <w:color w:val="231F20"/>
        <w:w w:val="102"/>
        <w:sz w:val="20"/>
        <w:szCs w:val="20"/>
      </w:rPr>
    </w:lvl>
    <w:lvl w:ilvl="2">
      <w:start w:val="1"/>
      <w:numFmt w:val="decimal"/>
      <w:lvlText w:val="%1.%2.%3."/>
      <w:lvlJc w:val="left"/>
      <w:pPr>
        <w:ind w:left="2467" w:hanging="579"/>
        <w:jc w:val="left"/>
      </w:pPr>
      <w:rPr>
        <w:rFonts w:hint="default" w:ascii="Times New Roman" w:hAnsi="Times New Roman" w:eastAsia="Times New Roman" w:cs="Times New Roman"/>
        <w:color w:val="231F20"/>
        <w:w w:val="102"/>
        <w:sz w:val="20"/>
        <w:szCs w:val="20"/>
      </w:rPr>
    </w:lvl>
    <w:lvl w:ilvl="3">
      <w:start w:val="0"/>
      <w:numFmt w:val="bullet"/>
      <w:lvlText w:val="•"/>
      <w:lvlJc w:val="left"/>
      <w:pPr>
        <w:ind w:left="2886" w:hanging="200"/>
      </w:pPr>
      <w:rPr>
        <w:rFonts w:hint="default" w:ascii="Times New Roman" w:hAnsi="Times New Roman" w:eastAsia="Times New Roman" w:cs="Times New Roman"/>
        <w:color w:val="231F20"/>
        <w:w w:val="100"/>
        <w:sz w:val="20"/>
        <w:szCs w:val="20"/>
      </w:rPr>
    </w:lvl>
    <w:lvl w:ilvl="4">
      <w:start w:val="0"/>
      <w:numFmt w:val="bullet"/>
      <w:lvlText w:val="•"/>
      <w:lvlJc w:val="left"/>
      <w:pPr>
        <w:ind w:left="2880" w:hanging="200"/>
      </w:pPr>
      <w:rPr>
        <w:rFonts w:hint="default"/>
      </w:rPr>
    </w:lvl>
    <w:lvl w:ilvl="5">
      <w:start w:val="0"/>
      <w:numFmt w:val="bullet"/>
      <w:lvlText w:val="•"/>
      <w:lvlJc w:val="left"/>
      <w:pPr>
        <w:ind w:left="2790" w:hanging="200"/>
      </w:pPr>
      <w:rPr>
        <w:rFonts w:hint="default"/>
      </w:rPr>
    </w:lvl>
    <w:lvl w:ilvl="6">
      <w:start w:val="0"/>
      <w:numFmt w:val="bullet"/>
      <w:lvlText w:val="•"/>
      <w:lvlJc w:val="left"/>
      <w:pPr>
        <w:ind w:left="2701" w:hanging="200"/>
      </w:pPr>
      <w:rPr>
        <w:rFonts w:hint="default"/>
      </w:rPr>
    </w:lvl>
    <w:lvl w:ilvl="7">
      <w:start w:val="0"/>
      <w:numFmt w:val="bullet"/>
      <w:lvlText w:val="•"/>
      <w:lvlJc w:val="left"/>
      <w:pPr>
        <w:ind w:left="2612" w:hanging="200"/>
      </w:pPr>
      <w:rPr>
        <w:rFonts w:hint="default"/>
      </w:rPr>
    </w:lvl>
    <w:lvl w:ilvl="8">
      <w:start w:val="0"/>
      <w:numFmt w:val="bullet"/>
      <w:lvlText w:val="•"/>
      <w:lvlJc w:val="left"/>
      <w:pPr>
        <w:ind w:left="2523" w:hanging="200"/>
      </w:pPr>
      <w:rPr>
        <w:rFonts w:hint="default"/>
      </w:rPr>
    </w:lvl>
  </w:abstractNum>
  <w:abstractNum w:abstractNumId="2">
    <w:multiLevelType w:val="hybridMultilevel"/>
    <w:lvl w:ilvl="0">
      <w:start w:val="2"/>
      <w:numFmt w:val="decimal"/>
      <w:lvlText w:val="(%1)"/>
      <w:lvlJc w:val="left"/>
      <w:pPr>
        <w:ind w:left="1090" w:hanging="282"/>
        <w:jc w:val="right"/>
      </w:pPr>
      <w:rPr>
        <w:rFonts w:hint="default" w:ascii="Times New Roman" w:hAnsi="Times New Roman" w:eastAsia="Times New Roman" w:cs="Times New Roman"/>
        <w:color w:val="231F20"/>
        <w:w w:val="99"/>
        <w:sz w:val="20"/>
        <w:szCs w:val="20"/>
      </w:rPr>
    </w:lvl>
    <w:lvl w:ilvl="1">
      <w:start w:val="1"/>
      <w:numFmt w:val="decimal"/>
      <w:lvlText w:val="%2."/>
      <w:lvlJc w:val="left"/>
      <w:pPr>
        <w:ind w:left="1888" w:hanging="400"/>
        <w:jc w:val="left"/>
      </w:pPr>
      <w:rPr>
        <w:rFonts w:hint="default" w:ascii="Times New Roman" w:hAnsi="Times New Roman" w:eastAsia="Times New Roman" w:cs="Times New Roman"/>
        <w:color w:val="231F20"/>
        <w:w w:val="102"/>
        <w:sz w:val="20"/>
        <w:szCs w:val="20"/>
      </w:rPr>
    </w:lvl>
    <w:lvl w:ilvl="2">
      <w:start w:val="0"/>
      <w:numFmt w:val="bullet"/>
      <w:lvlText w:val="•"/>
      <w:lvlJc w:val="left"/>
      <w:pPr>
        <w:ind w:left="2957" w:hanging="400"/>
      </w:pPr>
      <w:rPr>
        <w:rFonts w:hint="default"/>
      </w:rPr>
    </w:lvl>
    <w:lvl w:ilvl="3">
      <w:start w:val="0"/>
      <w:numFmt w:val="bullet"/>
      <w:lvlText w:val="•"/>
      <w:lvlJc w:val="left"/>
      <w:pPr>
        <w:ind w:left="4035" w:hanging="400"/>
      </w:pPr>
      <w:rPr>
        <w:rFonts w:hint="default"/>
      </w:rPr>
    </w:lvl>
    <w:lvl w:ilvl="4">
      <w:start w:val="0"/>
      <w:numFmt w:val="bullet"/>
      <w:lvlText w:val="•"/>
      <w:lvlJc w:val="left"/>
      <w:pPr>
        <w:ind w:left="5113" w:hanging="400"/>
      </w:pPr>
      <w:rPr>
        <w:rFonts w:hint="default"/>
      </w:rPr>
    </w:lvl>
    <w:lvl w:ilvl="5">
      <w:start w:val="0"/>
      <w:numFmt w:val="bullet"/>
      <w:lvlText w:val="•"/>
      <w:lvlJc w:val="left"/>
      <w:pPr>
        <w:ind w:left="6191" w:hanging="400"/>
      </w:pPr>
      <w:rPr>
        <w:rFonts w:hint="default"/>
      </w:rPr>
    </w:lvl>
    <w:lvl w:ilvl="6">
      <w:start w:val="0"/>
      <w:numFmt w:val="bullet"/>
      <w:lvlText w:val="•"/>
      <w:lvlJc w:val="left"/>
      <w:pPr>
        <w:ind w:left="7268" w:hanging="400"/>
      </w:pPr>
      <w:rPr>
        <w:rFonts w:hint="default"/>
      </w:rPr>
    </w:lvl>
    <w:lvl w:ilvl="7">
      <w:start w:val="0"/>
      <w:numFmt w:val="bullet"/>
      <w:lvlText w:val="•"/>
      <w:lvlJc w:val="left"/>
      <w:pPr>
        <w:ind w:left="8346" w:hanging="400"/>
      </w:pPr>
      <w:rPr>
        <w:rFonts w:hint="default"/>
      </w:rPr>
    </w:lvl>
    <w:lvl w:ilvl="8">
      <w:start w:val="0"/>
      <w:numFmt w:val="bullet"/>
      <w:lvlText w:val="•"/>
      <w:lvlJc w:val="left"/>
      <w:pPr>
        <w:ind w:left="9424" w:hanging="400"/>
      </w:pPr>
      <w:rPr>
        <w:rFonts w:hint="default"/>
      </w:rPr>
    </w:lvl>
  </w:abstractNum>
  <w:abstractNum w:abstractNumId="1">
    <w:multiLevelType w:val="hybridMultilevel"/>
    <w:lvl w:ilvl="0">
      <w:start w:val="1"/>
      <w:numFmt w:val="decimal"/>
      <w:lvlText w:val="(%1)"/>
      <w:lvlJc w:val="left"/>
      <w:pPr>
        <w:ind w:left="1489" w:hanging="400"/>
        <w:jc w:val="left"/>
      </w:pPr>
      <w:rPr>
        <w:rFonts w:hint="default" w:ascii="Times New Roman" w:hAnsi="Times New Roman" w:eastAsia="Times New Roman" w:cs="Times New Roman"/>
        <w:color w:val="231F20"/>
        <w:w w:val="99"/>
        <w:sz w:val="20"/>
        <w:szCs w:val="20"/>
      </w:rPr>
    </w:lvl>
    <w:lvl w:ilvl="1">
      <w:start w:val="0"/>
      <w:numFmt w:val="bullet"/>
      <w:lvlText w:val="•"/>
      <w:lvlJc w:val="left"/>
      <w:pPr>
        <w:ind w:left="2490" w:hanging="400"/>
      </w:pPr>
      <w:rPr>
        <w:rFonts w:hint="default"/>
      </w:rPr>
    </w:lvl>
    <w:lvl w:ilvl="2">
      <w:start w:val="0"/>
      <w:numFmt w:val="bullet"/>
      <w:lvlText w:val="•"/>
      <w:lvlJc w:val="left"/>
      <w:pPr>
        <w:ind w:left="3500" w:hanging="400"/>
      </w:pPr>
      <w:rPr>
        <w:rFonts w:hint="default"/>
      </w:rPr>
    </w:lvl>
    <w:lvl w:ilvl="3">
      <w:start w:val="0"/>
      <w:numFmt w:val="bullet"/>
      <w:lvlText w:val="•"/>
      <w:lvlJc w:val="left"/>
      <w:pPr>
        <w:ind w:left="4510" w:hanging="400"/>
      </w:pPr>
      <w:rPr>
        <w:rFonts w:hint="default"/>
      </w:rPr>
    </w:lvl>
    <w:lvl w:ilvl="4">
      <w:start w:val="0"/>
      <w:numFmt w:val="bullet"/>
      <w:lvlText w:val="•"/>
      <w:lvlJc w:val="left"/>
      <w:pPr>
        <w:ind w:left="5520" w:hanging="400"/>
      </w:pPr>
      <w:rPr>
        <w:rFonts w:hint="default"/>
      </w:rPr>
    </w:lvl>
    <w:lvl w:ilvl="5">
      <w:start w:val="0"/>
      <w:numFmt w:val="bullet"/>
      <w:lvlText w:val="•"/>
      <w:lvlJc w:val="left"/>
      <w:pPr>
        <w:ind w:left="6530" w:hanging="400"/>
      </w:pPr>
      <w:rPr>
        <w:rFonts w:hint="default"/>
      </w:rPr>
    </w:lvl>
    <w:lvl w:ilvl="6">
      <w:start w:val="0"/>
      <w:numFmt w:val="bullet"/>
      <w:lvlText w:val="•"/>
      <w:lvlJc w:val="left"/>
      <w:pPr>
        <w:ind w:left="7540" w:hanging="400"/>
      </w:pPr>
      <w:rPr>
        <w:rFonts w:hint="default"/>
      </w:rPr>
    </w:lvl>
    <w:lvl w:ilvl="7">
      <w:start w:val="0"/>
      <w:numFmt w:val="bullet"/>
      <w:lvlText w:val="•"/>
      <w:lvlJc w:val="left"/>
      <w:pPr>
        <w:ind w:left="8550" w:hanging="400"/>
      </w:pPr>
      <w:rPr>
        <w:rFonts w:hint="default"/>
      </w:rPr>
    </w:lvl>
    <w:lvl w:ilvl="8">
      <w:start w:val="0"/>
      <w:numFmt w:val="bullet"/>
      <w:lvlText w:val="•"/>
      <w:lvlJc w:val="left"/>
      <w:pPr>
        <w:ind w:left="9560" w:hanging="400"/>
      </w:pPr>
      <w:rPr>
        <w:rFonts w:hint="default"/>
      </w:rPr>
    </w:lvl>
  </w:abstractNum>
  <w:abstractNum w:abstractNumId="0">
    <w:multiLevelType w:val="hybridMultilevel"/>
    <w:lvl w:ilvl="0">
      <w:start w:val="99"/>
      <w:numFmt w:val="decimal"/>
      <w:lvlText w:val="%1"/>
      <w:lvlJc w:val="left"/>
      <w:pPr>
        <w:ind w:left="1908" w:hanging="819"/>
        <w:jc w:val="left"/>
      </w:pPr>
      <w:rPr>
        <w:rFonts w:hint="default"/>
      </w:rPr>
    </w:lvl>
    <w:lvl w:ilvl="1">
      <w:start w:val="1"/>
      <w:numFmt w:val="decimal"/>
      <w:lvlText w:val="%1.%2"/>
      <w:lvlJc w:val="left"/>
      <w:pPr>
        <w:ind w:left="1908" w:hanging="819"/>
        <w:jc w:val="left"/>
      </w:pPr>
      <w:rPr>
        <w:rFonts w:hint="default" w:ascii="Times New Roman" w:hAnsi="Times New Roman" w:eastAsia="Times New Roman" w:cs="Times New Roman"/>
        <w:color w:val="231F20"/>
        <w:w w:val="100"/>
        <w:sz w:val="20"/>
        <w:szCs w:val="20"/>
      </w:rPr>
    </w:lvl>
    <w:lvl w:ilvl="2">
      <w:start w:val="1"/>
      <w:numFmt w:val="decimal"/>
      <w:lvlText w:val="%3."/>
      <w:lvlJc w:val="left"/>
      <w:pPr>
        <w:ind w:left="1888" w:hanging="400"/>
        <w:jc w:val="left"/>
      </w:pPr>
      <w:rPr>
        <w:rFonts w:hint="default" w:ascii="Times New Roman" w:hAnsi="Times New Roman" w:eastAsia="Times New Roman" w:cs="Times New Roman"/>
        <w:color w:val="231F20"/>
        <w:w w:val="102"/>
        <w:sz w:val="20"/>
        <w:szCs w:val="20"/>
      </w:rPr>
    </w:lvl>
    <w:lvl w:ilvl="3">
      <w:start w:val="0"/>
      <w:numFmt w:val="bullet"/>
      <w:lvlText w:val="•"/>
      <w:lvlJc w:val="left"/>
      <w:pPr>
        <w:ind w:left="4051" w:hanging="400"/>
      </w:pPr>
      <w:rPr>
        <w:rFonts w:hint="default"/>
      </w:rPr>
    </w:lvl>
    <w:lvl w:ilvl="4">
      <w:start w:val="0"/>
      <w:numFmt w:val="bullet"/>
      <w:lvlText w:val="•"/>
      <w:lvlJc w:val="left"/>
      <w:pPr>
        <w:ind w:left="5126" w:hanging="400"/>
      </w:pPr>
      <w:rPr>
        <w:rFonts w:hint="default"/>
      </w:rPr>
    </w:lvl>
    <w:lvl w:ilvl="5">
      <w:start w:val="0"/>
      <w:numFmt w:val="bullet"/>
      <w:lvlText w:val="•"/>
      <w:lvlJc w:val="left"/>
      <w:pPr>
        <w:ind w:left="6202" w:hanging="400"/>
      </w:pPr>
      <w:rPr>
        <w:rFonts w:hint="default"/>
      </w:rPr>
    </w:lvl>
    <w:lvl w:ilvl="6">
      <w:start w:val="0"/>
      <w:numFmt w:val="bullet"/>
      <w:lvlText w:val="•"/>
      <w:lvlJc w:val="left"/>
      <w:pPr>
        <w:ind w:left="7277" w:hanging="400"/>
      </w:pPr>
      <w:rPr>
        <w:rFonts w:hint="default"/>
      </w:rPr>
    </w:lvl>
    <w:lvl w:ilvl="7">
      <w:start w:val="0"/>
      <w:numFmt w:val="bullet"/>
      <w:lvlText w:val="•"/>
      <w:lvlJc w:val="left"/>
      <w:pPr>
        <w:ind w:left="8353" w:hanging="400"/>
      </w:pPr>
      <w:rPr>
        <w:rFonts w:hint="default"/>
      </w:rPr>
    </w:lvl>
    <w:lvl w:ilvl="8">
      <w:start w:val="0"/>
      <w:numFmt w:val="bullet"/>
      <w:lvlText w:val="•"/>
      <w:lvlJc w:val="left"/>
      <w:pPr>
        <w:ind w:left="9428" w:hanging="400"/>
      </w:pPr>
      <w:rPr>
        <w:rFonts w:hint="default"/>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114"/>
      <w:ind w:left="1196"/>
      <w:outlineLvl w:val="1"/>
    </w:pPr>
    <w:rPr>
      <w:rFonts w:ascii="Times New Roman" w:hAnsi="Times New Roman" w:eastAsia="Times New Roman" w:cs="Times New Roman"/>
      <w:sz w:val="21"/>
      <w:szCs w:val="21"/>
    </w:rPr>
  </w:style>
  <w:style w:styleId="Heading2" w:type="paragraph">
    <w:name w:val="Heading 2"/>
    <w:basedOn w:val="Normal"/>
    <w:uiPriority w:val="1"/>
    <w:qFormat/>
    <w:pPr>
      <w:ind w:left="1090"/>
      <w:outlineLvl w:val="2"/>
    </w:pPr>
    <w:rPr>
      <w:rFonts w:ascii="Times New Roman" w:hAnsi="Times New Roman" w:eastAsia="Times New Roman" w:cs="Times New Roman"/>
      <w:b/>
      <w:bCs/>
      <w:sz w:val="20"/>
      <w:szCs w:val="20"/>
    </w:rPr>
  </w:style>
  <w:style w:styleId="ListParagraph" w:type="paragraph">
    <w:name w:val="List Paragraph"/>
    <w:basedOn w:val="Normal"/>
    <w:uiPriority w:val="1"/>
    <w:qFormat/>
    <w:pPr>
      <w:ind w:left="1888" w:hanging="400"/>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shl-telemedicine.com/" TargetMode="External"/><Relationship Id="rId7" Type="http://schemas.openxmlformats.org/officeDocument/2006/relationships/footer" Target="footer2.xml"/><Relationship Id="rId8" Type="http://schemas.openxmlformats.org/officeDocument/2006/relationships/hyperlink" Target="http://www.shl-telemedicine.com/general-meeting" TargetMode="External"/><Relationship Id="rId9" Type="http://schemas.openxmlformats.org/officeDocument/2006/relationships/hyperlink" Target="http://www.sec.gov/" TargetMode="External"/><Relationship Id="rId10" Type="http://schemas.openxmlformats.org/officeDocument/2006/relationships/hyperlink" Target="mailto:amirh@shahal.co.il" TargetMode="Externa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hyperlink" Target="http://www.shl-telemedicine.com/general-meeting/" TargetMode="Externa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image" Target="media/image1.png"/><Relationship Id="rId21" Type="http://schemas.openxmlformats.org/officeDocument/2006/relationships/footer" Target="footer11.xml"/><Relationship Id="rId22" Type="http://schemas.openxmlformats.org/officeDocument/2006/relationships/footer" Target="footer12.xml"/><Relationship Id="rId23" Type="http://schemas.openxmlformats.org/officeDocument/2006/relationships/footer" Target="footer13.xm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2023-12-27T12:47:04Z</dcterms:created>
  <dcterms:modified xsi:type="dcterms:W3CDTF">2023-12-27T12:47:04Z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2023-12-27T00:00:00Z</vt:filetime>
  </property>
  <property fmtid="{D5CDD505-2E9C-101B-9397-08002B2CF9AE}" pid="3" name="Creator">
    <vt:lpwstr>Toppan Merrill</vt:lpwstr>
  </property>
  <property fmtid="{D5CDD505-2E9C-101B-9397-08002B2CF9AE}" pid="4" name="LastSaved">
    <vt:filetime>2023-12-27T00:00:00Z</vt:filetime>
  </property>
</Properties>
</file>