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rPr>
          <w:sz w:val="20"/>
          <w:szCs w:val="20"/>
        </w:rPr>
      </w:pPr>
      <w:r>
        <w:rPr>
          <w:sz w:val="20"/>
          <w:szCs w:val="20"/>
        </w:rPr>
        <w:t> </w:t>
      </w:r>
    </w:p>
    <w:p>
      <w:pPr>
        <w:pStyle w:val="NormalWeb"/>
        <w:spacing w:before="0" w:beforeAutospacing="0" w:after="0" w:afterAutospacing="0"/>
        <w:jc w:val="center"/>
        <w:rPr>
          <w:sz w:val="20"/>
          <w:szCs w:val="20"/>
        </w:rPr>
      </w:pPr>
      <w:r>
        <w:rPr>
          <w:sz w:val="20"/>
          <w:szCs w:val="20"/>
        </w:rPr>
        <w:t> </w:t>
      </w:r>
    </w:p>
    <w:p>
      <w:pPr>
        <w:divId w:val="348526447"/>
        <w:rPr>
          <w:rFonts w:eastAsia="Times New Roman"/>
          <w:sz w:val="2"/>
          <w:szCs w:val="2"/>
        </w:rPr>
      </w:pPr>
      <w:r>
        <w:rPr>
          <w:rFonts w:eastAsia="Times New Roman"/>
          <w:sz w:val="2"/>
          <w:szCs w:val="2"/>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UNITED STATES</w:t>
      </w:r>
    </w:p>
    <w:p>
      <w:pPr>
        <w:pStyle w:val="NormalWeb"/>
        <w:spacing w:before="0" w:beforeAutospacing="0" w:after="0" w:afterAutospacing="0"/>
        <w:jc w:val="center"/>
        <w:rPr>
          <w:sz w:val="28"/>
          <w:szCs w:val="28"/>
        </w:rPr>
      </w:pPr>
      <w:r>
        <w:rPr>
          <w:b/>
          <w:bCs/>
          <w:sz w:val="28"/>
          <w:szCs w:val="28"/>
        </w:rPr>
        <w:t>SECURITIES AND EXCHANGE COMMISSION</w:t>
      </w:r>
    </w:p>
    <w:p>
      <w:pPr>
        <w:pStyle w:val="NormalWeb"/>
        <w:spacing w:before="0" w:beforeAutospacing="0" w:after="0" w:afterAutospacing="0"/>
        <w:jc w:val="center"/>
        <w:rPr>
          <w:sz w:val="20"/>
          <w:szCs w:val="20"/>
        </w:rPr>
      </w:pPr>
      <w:r>
        <w:rPr>
          <w:b/>
          <w:bCs/>
          <w:sz w:val="20"/>
          <w:szCs w:val="20"/>
        </w:rPr>
        <w:t>Washington, D.C. 20549</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36"/>
          <w:szCs w:val="36"/>
        </w:rPr>
      </w:pPr>
      <w:r>
        <w:rPr>
          <w:b/>
          <w:bCs/>
          <w:sz w:val="36"/>
          <w:szCs w:val="36"/>
        </w:rPr>
        <w:t>FORM 6-K</w:t>
      </w:r>
    </w:p>
    <w:p>
      <w:pPr>
        <w:pStyle w:val="NormalWeb"/>
        <w:spacing w:before="0" w:beforeAutospacing="0" w:after="0" w:afterAutospacing="0"/>
        <w:jc w:val="center"/>
        <w:rPr>
          <w:sz w:val="20"/>
          <w:szCs w:val="20"/>
        </w:rPr>
      </w:pPr>
      <w:r>
        <w:rPr>
          <w:b/>
          <w:bCs/>
          <w:sz w:val="20"/>
          <w:szCs w:val="20"/>
        </w:rPr>
        <w:t>REPORT OF FOREIGN PRIVATE ISSUER PURSUANT TO RULE 13a-16 OR 15d-16 OF THE</w:t>
      </w:r>
      <w:r>
        <w:rPr>
          <w:b/>
          <w:bCs/>
          <w:sz w:val="20"/>
          <w:szCs w:val="20"/>
        </w:rPr>
        <w:br/>
        <w:t>SECURITIES EXCHANGE ACT OF 1934</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For the month of: May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001-41641</w:t>
      </w:r>
    </w:p>
    <w:p>
      <w:pPr>
        <w:pStyle w:val="NormalWeb"/>
        <w:spacing w:before="0" w:beforeAutospacing="0" w:after="0" w:afterAutospacing="0"/>
        <w:jc w:val="center"/>
        <w:rPr>
          <w:sz w:val="20"/>
          <w:szCs w:val="20"/>
        </w:rPr>
      </w:pPr>
      <w:r>
        <w:rPr>
          <w:b/>
          <w:bCs/>
          <w:sz w:val="20"/>
          <w:szCs w:val="20"/>
        </w:rPr>
        <w:t>(Commission File Number)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SHL TELEMEDICINE LTD.</w:t>
      </w:r>
    </w:p>
    <w:p>
      <w:pPr>
        <w:pStyle w:val="NormalWeb"/>
        <w:spacing w:before="0" w:beforeAutospacing="0" w:after="0" w:afterAutospacing="0"/>
        <w:jc w:val="center"/>
        <w:rPr>
          <w:sz w:val="20"/>
          <w:szCs w:val="20"/>
        </w:rPr>
      </w:pPr>
      <w:r>
        <w:rPr>
          <w:sz w:val="20"/>
          <w:szCs w:val="20"/>
        </w:rPr>
        <w:t>(Translation of registrant’s name into English)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90 Yigal Alon Street</w:t>
      </w:r>
    </w:p>
    <w:p>
      <w:pPr>
        <w:pStyle w:val="NormalWeb"/>
        <w:spacing w:before="0" w:beforeAutospacing="0" w:after="0" w:afterAutospacing="0"/>
        <w:jc w:val="center"/>
        <w:rPr>
          <w:sz w:val="20"/>
          <w:szCs w:val="20"/>
        </w:rPr>
      </w:pPr>
      <w:r>
        <w:rPr>
          <w:b/>
          <w:bCs/>
          <w:sz w:val="20"/>
          <w:szCs w:val="20"/>
        </w:rPr>
        <w:t>Tel Aviv 67891, Israel</w:t>
      </w:r>
    </w:p>
    <w:p>
      <w:pPr>
        <w:pStyle w:val="NormalWeb"/>
        <w:spacing w:before="0" w:beforeAutospacing="0" w:after="0" w:afterAutospacing="0"/>
        <w:jc w:val="center"/>
        <w:rPr>
          <w:sz w:val="20"/>
          <w:szCs w:val="20"/>
        </w:rPr>
      </w:pPr>
      <w:r>
        <w:rPr>
          <w:sz w:val="20"/>
          <w:szCs w:val="20"/>
        </w:rPr>
        <w:t>(Address of principal executive offices)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Indicate by check mark whether the registrant files or will file annual reports under cover Form 20-F or Form 40-F.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 xml:space="preserve">Form 20-F </w:t>
      </w:r>
      <w:r>
        <w:rPr>
          <w:rFonts w:ascii="Wingdings" w:hAnsi="Wingdings"/>
          <w:sz w:val="20"/>
          <w:szCs w:val="20"/>
        </w:rPr>
        <w:t>x</w:t>
      </w:r>
      <w:r>
        <w:rPr>
          <w:sz w:val="20"/>
          <w:szCs w:val="20"/>
        </w:rPr>
        <w:t xml:space="preserve"> Form 40-F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101(b)(1):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101(b)(7):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divId w:val="2094350997"/>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124618551"/>
        <w:rPr>
          <w:sz w:val="20"/>
          <w:szCs w:val="20"/>
        </w:rPr>
      </w:pPr>
      <w:r>
        <w:rPr>
          <w:sz w:val="20"/>
          <w:szCs w:val="20"/>
        </w:rPr>
        <w:t> </w:t>
      </w:r>
    </w:p>
    <w:p>
      <w:pPr>
        <w:pStyle w:val="NormalWeb"/>
        <w:pageBreakBefore/>
        <w:spacing w:before="0" w:beforeAutospacing="0" w:after="0" w:afterAutospacing="0"/>
        <w:divId w:val="1440832017"/>
        <w:rPr>
          <w:sz w:val="20"/>
          <w:szCs w:val="20"/>
        </w:rPr>
      </w:pPr>
      <w:r>
        <w:rPr>
          <w:sz w:val="20"/>
          <w:szCs w:val="20"/>
        </w:rPr>
        <w:lastRenderedPageBreak/>
        <w:t> </w:t>
      </w:r>
    </w:p>
    <w:p>
      <w:pPr>
        <w:pStyle w:val="NormalWeb"/>
        <w:spacing w:before="0" w:beforeAutospacing="0" w:after="0" w:afterAutospacing="0"/>
        <w:divId w:val="1675648056"/>
        <w:rPr>
          <w:sz w:val="20"/>
          <w:szCs w:val="20"/>
        </w:rPr>
      </w:pPr>
      <w:r>
        <w:rPr>
          <w:sz w:val="20"/>
          <w:szCs w:val="20"/>
        </w:rPr>
        <w:t> </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9"/>
        <w:gridCol w:w="187"/>
        <w:gridCol w:w="8424"/>
      </w:tblGrid>
      <w:tr>
        <w:trPr>
          <w:tblCellSpacing w:w="0" w:type="dxa"/>
        </w:trPr>
        <w:tc>
          <w:tcPr>
            <w:tcW w:w="0" w:type="auto"/>
            <w:tcBorders>
              <w:bottom w:val="single" w:sz="8" w:space="0" w:color="000000"/>
            </w:tcBorders>
            <w:hideMark/>
          </w:tcPr>
          <w:p>
            <w:pPr>
              <w:jc w:val="center"/>
              <w:rPr>
                <w:rFonts w:eastAsia="Times New Roman"/>
                <w:sz w:val="20"/>
                <w:szCs w:val="20"/>
              </w:rPr>
            </w:pPr>
            <w:r>
              <w:rPr>
                <w:rFonts w:eastAsia="Times New Roman"/>
                <w:b/>
                <w:bCs/>
                <w:sz w:val="20"/>
                <w:szCs w:val="20"/>
              </w:rPr>
              <w:t>Exhibit</w:t>
            </w:r>
          </w:p>
        </w:tc>
        <w:tc>
          <w:tcPr>
            <w:tcW w:w="0" w:type="auto"/>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hideMark/>
          </w:tcPr>
          <w:p>
            <w:pPr>
              <w:rPr>
                <w:rFonts w:eastAsia="Times New Roman"/>
                <w:sz w:val="20"/>
                <w:szCs w:val="20"/>
              </w:rPr>
            </w:pPr>
            <w:r>
              <w:rPr>
                <w:rFonts w:eastAsia="Times New Roman"/>
                <w:b/>
                <w:bCs/>
                <w:sz w:val="20"/>
                <w:szCs w:val="20"/>
              </w:rPr>
              <w:t>Description</w:t>
            </w:r>
          </w:p>
        </w:tc>
      </w:tr>
      <w:tr>
        <w:trPr>
          <w:tblCellSpacing w:w="0" w:type="dxa"/>
        </w:trPr>
        <w:tc>
          <w:tcPr>
            <w:tcW w:w="0" w:type="auto"/>
            <w:hideMark/>
          </w:tcPr>
          <w:p>
            <w:pPr>
              <w:jc w:val="cente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rPr>
          <w:tblCellSpacing w:w="0" w:type="dxa"/>
        </w:trPr>
        <w:tc>
          <w:tcPr>
            <w:tcW w:w="400" w:type="pct"/>
            <w:hideMark/>
          </w:tcPr>
          <w:p>
            <w:pPr>
              <w:jc w:val="center"/>
              <w:rPr>
                <w:rFonts w:eastAsia="Times New Roman"/>
                <w:sz w:val="20"/>
                <w:szCs w:val="20"/>
              </w:rPr>
            </w:pPr>
            <w:hyperlink r:id="rId4" w:history="1">
              <w:r>
                <w:rPr>
                  <w:rStyle w:val="Hyperlink"/>
                  <w:rFonts w:eastAsia="Times New Roman"/>
                  <w:sz w:val="20"/>
                  <w:szCs w:val="20"/>
                </w:rPr>
                <w:t>99.1</w:t>
              </w:r>
            </w:hyperlink>
          </w:p>
        </w:tc>
        <w:tc>
          <w:tcPr>
            <w:tcW w:w="100" w:type="pct"/>
            <w:hideMark/>
          </w:tcPr>
          <w:p>
            <w:pPr>
              <w:rPr>
                <w:rFonts w:eastAsia="Times New Roman"/>
                <w:sz w:val="20"/>
                <w:szCs w:val="20"/>
              </w:rPr>
            </w:pPr>
            <w:r>
              <w:rPr>
                <w:rFonts w:eastAsia="Times New Roman"/>
                <w:sz w:val="20"/>
                <w:szCs w:val="20"/>
              </w:rPr>
              <w:t> </w:t>
            </w:r>
          </w:p>
        </w:tc>
        <w:tc>
          <w:tcPr>
            <w:tcW w:w="4500" w:type="pct"/>
            <w:hideMark/>
          </w:tcPr>
          <w:p>
            <w:pPr>
              <w:rPr>
                <w:rFonts w:eastAsia="Times New Roman"/>
                <w:sz w:val="20"/>
                <w:szCs w:val="20"/>
              </w:rPr>
            </w:pPr>
            <w:hyperlink r:id="rId5" w:history="1">
              <w:r>
                <w:rPr>
                  <w:rStyle w:val="Hyperlink"/>
                  <w:rFonts w:eastAsia="Times New Roman"/>
                  <w:sz w:val="20"/>
                  <w:szCs w:val="20"/>
                </w:rPr>
                <w:t>Annual Report to Shareholders for the year ended December 31, 2022 filed with the SIX Swiss Exchange.</w:t>
              </w:r>
            </w:hyperlink>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2119910137"/>
        <w:rPr>
          <w:sz w:val="20"/>
          <w:szCs w:val="20"/>
        </w:rPr>
      </w:pPr>
      <w:r>
        <w:rPr>
          <w:sz w:val="20"/>
          <w:szCs w:val="20"/>
        </w:rPr>
        <w:t> </w:t>
      </w:r>
    </w:p>
    <w:p>
      <w:pPr>
        <w:pStyle w:val="NormalWeb"/>
        <w:pageBreakBefore/>
        <w:spacing w:before="0" w:beforeAutospacing="0" w:after="0" w:afterAutospacing="0"/>
        <w:divId w:val="1737313239"/>
        <w:rPr>
          <w:sz w:val="20"/>
          <w:szCs w:val="20"/>
        </w:rPr>
      </w:pPr>
      <w:r>
        <w:rPr>
          <w:sz w:val="20"/>
          <w:szCs w:val="20"/>
        </w:rPr>
        <w:lastRenderedPageBreak/>
        <w:t> </w:t>
      </w:r>
    </w:p>
    <w:p>
      <w:pPr>
        <w:pStyle w:val="NormalWeb"/>
        <w:spacing w:before="0" w:beforeAutospacing="0" w:after="0" w:afterAutospacing="0"/>
        <w:divId w:val="479734303"/>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SIGNATURE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Pursuant to the requirements of Section 12 of the Securities Exchange Act of 1934, the Registrant has duly caused this report to be signed on its behalf by the undersigned, thereunto duly authorized.</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47"/>
        <w:gridCol w:w="534"/>
        <w:gridCol w:w="4179"/>
      </w:tblGrid>
      <w:tr>
        <w:tc>
          <w:tcPr>
            <w:tcW w:w="0" w:type="auto"/>
            <w:hideMark/>
          </w:tcPr>
          <w:p>
            <w:pPr>
              <w:rPr>
                <w:rFonts w:eastAsia="Times New Roman"/>
                <w:sz w:val="20"/>
                <w:szCs w:val="20"/>
              </w:rPr>
            </w:pPr>
            <w:r>
              <w:rPr>
                <w:rFonts w:eastAsia="Times New Roman"/>
                <w:sz w:val="20"/>
                <w:szCs w:val="20"/>
              </w:rPr>
              <w:t>Dated:   May 11, 2023</w:t>
            </w:r>
          </w:p>
        </w:tc>
        <w:tc>
          <w:tcPr>
            <w:tcW w:w="0" w:type="auto"/>
            <w:gridSpan w:val="2"/>
            <w:vAlign w:val="bottom"/>
            <w:hideMark/>
          </w:tcPr>
          <w:p>
            <w:pPr>
              <w:rPr>
                <w:rFonts w:eastAsia="Times New Roman"/>
                <w:sz w:val="20"/>
                <w:szCs w:val="20"/>
              </w:rPr>
            </w:pPr>
            <w:r>
              <w:rPr>
                <w:rFonts w:eastAsia="Times New Roman"/>
                <w:b/>
                <w:bCs/>
                <w:sz w:val="20"/>
                <w:szCs w:val="20"/>
              </w:rPr>
              <w:t xml:space="preserve">SHL TELEMEDICINE LTD. </w:t>
            </w:r>
          </w:p>
        </w:tc>
      </w:tr>
      <w:tr>
        <w:tc>
          <w:tcPr>
            <w:tcW w:w="0" w:type="auto"/>
            <w:hideMark/>
          </w:tcPr>
          <w:p>
            <w:pPr>
              <w:rPr>
                <w:rFonts w:eastAsia="Times New Roman"/>
                <w:sz w:val="20"/>
                <w:szCs w:val="20"/>
              </w:rPr>
            </w:pPr>
            <w:r>
              <w:rPr>
                <w:rFonts w:eastAsia="Times New Roman"/>
                <w:sz w:val="20"/>
                <w:szCs w:val="20"/>
              </w:rPr>
              <w:t> </w:t>
            </w:r>
          </w:p>
        </w:tc>
        <w:tc>
          <w:tcPr>
            <w:tcW w:w="0" w:type="auto"/>
            <w:gridSpan w:val="2"/>
            <w:vAlign w:val="bottom"/>
            <w:hideMark/>
          </w:tcPr>
          <w:p>
            <w:pPr>
              <w:rPr>
                <w:rFonts w:eastAsia="Times New Roman"/>
                <w:sz w:val="20"/>
                <w:szCs w:val="20"/>
              </w:rPr>
            </w:pPr>
            <w:r>
              <w:rPr>
                <w:rFonts w:eastAsia="Times New Roman"/>
                <w:sz w:val="20"/>
                <w:szCs w:val="20"/>
              </w:rPr>
              <w:t> </w:t>
            </w:r>
          </w:p>
        </w:tc>
      </w:tr>
      <w:tr>
        <w:tc>
          <w:tcPr>
            <w:tcW w:w="2500" w:type="pct"/>
            <w:tcBorders>
              <w:bottom w:val="single" w:sz="8" w:space="0" w:color="FFFFFF"/>
            </w:tcBorders>
            <w:hideMark/>
          </w:tcPr>
          <w:p>
            <w:pPr>
              <w:rPr>
                <w:rFonts w:eastAsia="Times New Roman"/>
                <w:sz w:val="20"/>
                <w:szCs w:val="20"/>
              </w:rPr>
            </w:pPr>
            <w:r>
              <w:rPr>
                <w:rFonts w:eastAsia="Times New Roman"/>
                <w:sz w:val="20"/>
                <w:szCs w:val="20"/>
              </w:rPr>
              <w:t> </w:t>
            </w:r>
          </w:p>
        </w:tc>
        <w:tc>
          <w:tcPr>
            <w:tcW w:w="250" w:type="pct"/>
            <w:tcBorders>
              <w:bottom w:val="single" w:sz="8" w:space="0" w:color="FFFFFF"/>
            </w:tcBorders>
            <w:vAlign w:val="bottom"/>
            <w:hideMark/>
          </w:tcPr>
          <w:p>
            <w:pPr>
              <w:rPr>
                <w:rFonts w:eastAsia="Times New Roman"/>
                <w:sz w:val="20"/>
                <w:szCs w:val="20"/>
              </w:rPr>
            </w:pPr>
            <w:r>
              <w:rPr>
                <w:rFonts w:eastAsia="Times New Roman"/>
                <w:sz w:val="20"/>
                <w:szCs w:val="20"/>
              </w:rPr>
              <w:t>By:</w:t>
            </w:r>
          </w:p>
        </w:tc>
        <w:tc>
          <w:tcPr>
            <w:tcW w:w="2250" w:type="pct"/>
            <w:tcBorders>
              <w:bottom w:val="single" w:sz="8" w:space="0" w:color="000000"/>
            </w:tcBorders>
            <w:vAlign w:val="bottom"/>
            <w:hideMark/>
          </w:tcPr>
          <w:p>
            <w:pPr>
              <w:rPr>
                <w:rFonts w:eastAsia="Times New Roman"/>
                <w:sz w:val="20"/>
                <w:szCs w:val="20"/>
              </w:rPr>
            </w:pPr>
            <w:r>
              <w:rPr>
                <w:rFonts w:eastAsia="Times New Roman"/>
                <w:sz w:val="20"/>
                <w:szCs w:val="20"/>
              </w:rPr>
              <w:t>/s/ Amir Hai</w:t>
            </w:r>
          </w:p>
        </w:tc>
      </w:tr>
      <w:tr>
        <w:tc>
          <w:tcPr>
            <w:tcW w:w="0" w:type="auto"/>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Name:</w:t>
            </w:r>
          </w:p>
        </w:tc>
        <w:tc>
          <w:tcPr>
            <w:tcW w:w="0" w:type="auto"/>
            <w:vAlign w:val="bottom"/>
            <w:hideMark/>
          </w:tcPr>
          <w:p>
            <w:pPr>
              <w:rPr>
                <w:rFonts w:eastAsia="Times New Roman"/>
                <w:sz w:val="20"/>
                <w:szCs w:val="20"/>
              </w:rPr>
            </w:pPr>
            <w:r>
              <w:rPr>
                <w:rFonts w:eastAsia="Times New Roman"/>
                <w:sz w:val="20"/>
                <w:szCs w:val="20"/>
              </w:rPr>
              <w:t>Amir Hai</w:t>
            </w:r>
          </w:p>
        </w:tc>
      </w:tr>
      <w:tr>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Title:</w:t>
            </w:r>
          </w:p>
        </w:tc>
        <w:tc>
          <w:tcPr>
            <w:tcW w:w="0" w:type="auto"/>
            <w:vAlign w:val="bottom"/>
            <w:hideMark/>
          </w:tcPr>
          <w:p>
            <w:pPr>
              <w:rPr>
                <w:rFonts w:eastAsia="Times New Roman"/>
                <w:sz w:val="20"/>
                <w:szCs w:val="20"/>
              </w:rPr>
            </w:pPr>
            <w:r>
              <w:rPr>
                <w:rFonts w:eastAsia="Times New Roman"/>
                <w:sz w:val="20"/>
                <w:szCs w:val="20"/>
              </w:rPr>
              <w:t>Chief Financial Officer</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99897878"/>
        <w:rPr>
          <w:sz w:val="20"/>
          <w:szCs w:val="20"/>
        </w:rPr>
      </w:pPr>
      <w:r>
        <w:rPr>
          <w:sz w:val="20"/>
          <w:szCs w:val="20"/>
        </w:rPr>
        <w:t> </w:t>
      </w:r>
    </w:p>
    <w:p>
      <w:pPr>
        <w:pStyle w:val="NormalWeb"/>
        <w:spacing w:before="0" w:beforeAutospacing="0" w:after="0" w:afterAutospacing="0"/>
        <w:rPr>
          <w:sz w:val="20"/>
          <w:szCs w:val="20"/>
        </w:rPr>
      </w:pPr>
      <w:r>
        <w:rPr>
          <w:sz w:val="20"/>
          <w:szCs w:val="2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oNotTrackMoves/>
  <w:doNotTrackFormatting/>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44F93-D118-482B-99E4-923F1A9F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7878">
      <w:marLeft w:val="0"/>
      <w:marRight w:val="0"/>
      <w:marTop w:val="240"/>
      <w:marBottom w:val="120"/>
      <w:divBdr>
        <w:top w:val="none" w:sz="0" w:space="0" w:color="auto"/>
        <w:left w:val="none" w:sz="0" w:space="0" w:color="auto"/>
        <w:bottom w:val="single" w:sz="8" w:space="0" w:color="000000"/>
        <w:right w:val="none" w:sz="0" w:space="0" w:color="auto"/>
      </w:divBdr>
    </w:div>
    <w:div w:id="283199556">
      <w:marLeft w:val="0"/>
      <w:marRight w:val="0"/>
      <w:marTop w:val="60"/>
      <w:marBottom w:val="60"/>
      <w:divBdr>
        <w:top w:val="none" w:sz="0" w:space="0" w:color="auto"/>
        <w:left w:val="none" w:sz="0" w:space="0" w:color="auto"/>
        <w:bottom w:val="none" w:sz="0" w:space="0" w:color="auto"/>
        <w:right w:val="none" w:sz="0" w:space="0" w:color="auto"/>
      </w:divBdr>
      <w:divsChild>
        <w:div w:id="348526447">
          <w:marLeft w:val="0"/>
          <w:marRight w:val="0"/>
          <w:marTop w:val="0"/>
          <w:marBottom w:val="0"/>
          <w:divBdr>
            <w:top w:val="single" w:sz="18" w:space="0" w:color="000000"/>
            <w:left w:val="none" w:sz="0" w:space="0" w:color="auto"/>
            <w:bottom w:val="single" w:sz="8" w:space="0" w:color="000000"/>
            <w:right w:val="none" w:sz="0" w:space="0" w:color="auto"/>
          </w:divBdr>
        </w:div>
      </w:divsChild>
    </w:div>
    <w:div w:id="479734303">
      <w:marLeft w:val="0"/>
      <w:marRight w:val="0"/>
      <w:marTop w:val="120"/>
      <w:marBottom w:val="240"/>
      <w:divBdr>
        <w:top w:val="none" w:sz="0" w:space="0" w:color="auto"/>
        <w:left w:val="none" w:sz="0" w:space="0" w:color="auto"/>
        <w:bottom w:val="none" w:sz="0" w:space="0" w:color="auto"/>
        <w:right w:val="none" w:sz="0" w:space="0" w:color="auto"/>
      </w:divBdr>
    </w:div>
    <w:div w:id="1124618551">
      <w:marLeft w:val="0"/>
      <w:marRight w:val="0"/>
      <w:marTop w:val="240"/>
      <w:marBottom w:val="120"/>
      <w:divBdr>
        <w:top w:val="none" w:sz="0" w:space="0" w:color="auto"/>
        <w:left w:val="none" w:sz="0" w:space="0" w:color="auto"/>
        <w:bottom w:val="single" w:sz="8" w:space="0" w:color="000000"/>
        <w:right w:val="none" w:sz="0" w:space="0" w:color="auto"/>
      </w:divBdr>
    </w:div>
    <w:div w:id="1440832017">
      <w:marLeft w:val="0"/>
      <w:marRight w:val="0"/>
      <w:marTop w:val="0"/>
      <w:marBottom w:val="0"/>
      <w:divBdr>
        <w:top w:val="none" w:sz="0" w:space="0" w:color="auto"/>
        <w:left w:val="none" w:sz="0" w:space="0" w:color="auto"/>
        <w:bottom w:val="none" w:sz="0" w:space="0" w:color="auto"/>
        <w:right w:val="none" w:sz="0" w:space="0" w:color="auto"/>
      </w:divBdr>
    </w:div>
    <w:div w:id="1675648056">
      <w:marLeft w:val="0"/>
      <w:marRight w:val="0"/>
      <w:marTop w:val="120"/>
      <w:marBottom w:val="240"/>
      <w:divBdr>
        <w:top w:val="none" w:sz="0" w:space="0" w:color="auto"/>
        <w:left w:val="none" w:sz="0" w:space="0" w:color="auto"/>
        <w:bottom w:val="none" w:sz="0" w:space="0" w:color="auto"/>
        <w:right w:val="none" w:sz="0" w:space="0" w:color="auto"/>
      </w:divBdr>
    </w:div>
    <w:div w:id="1737313239">
      <w:marLeft w:val="0"/>
      <w:marRight w:val="0"/>
      <w:marTop w:val="0"/>
      <w:marBottom w:val="0"/>
      <w:divBdr>
        <w:top w:val="none" w:sz="0" w:space="0" w:color="auto"/>
        <w:left w:val="none" w:sz="0" w:space="0" w:color="auto"/>
        <w:bottom w:val="none" w:sz="0" w:space="0" w:color="auto"/>
        <w:right w:val="none" w:sz="0" w:space="0" w:color="auto"/>
      </w:divBdr>
    </w:div>
    <w:div w:id="1834293872">
      <w:marLeft w:val="0"/>
      <w:marRight w:val="0"/>
      <w:marTop w:val="60"/>
      <w:marBottom w:val="60"/>
      <w:divBdr>
        <w:top w:val="none" w:sz="0" w:space="0" w:color="auto"/>
        <w:left w:val="none" w:sz="0" w:space="0" w:color="auto"/>
        <w:bottom w:val="none" w:sz="0" w:space="0" w:color="auto"/>
        <w:right w:val="none" w:sz="0" w:space="0" w:color="auto"/>
      </w:divBdr>
      <w:divsChild>
        <w:div w:id="2094350997">
          <w:marLeft w:val="0"/>
          <w:marRight w:val="0"/>
          <w:marTop w:val="0"/>
          <w:marBottom w:val="0"/>
          <w:divBdr>
            <w:top w:val="single" w:sz="8" w:space="0" w:color="000000"/>
            <w:left w:val="none" w:sz="0" w:space="0" w:color="auto"/>
            <w:bottom w:val="single" w:sz="18" w:space="0" w:color="000000"/>
            <w:right w:val="none" w:sz="0" w:space="0" w:color="auto"/>
          </w:divBdr>
        </w:div>
      </w:divsChild>
    </w:div>
    <w:div w:id="2119910137">
      <w:marLeft w:val="0"/>
      <w:marRight w:val="0"/>
      <w:marTop w:val="240"/>
      <w:marBottom w:val="120"/>
      <w:divBdr>
        <w:top w:val="none" w:sz="0" w:space="0" w:color="auto"/>
        <w:left w:val="none" w:sz="0" w:space="0" w:color="auto"/>
        <w:bottom w:val="single" w:sz="8" w:space="0" w:color="000000"/>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tm.toppanmerrill.com\chi4\ActiveJobs\tm2314307-2\tm2314307-2_6kseq1\captures\v000.01-2023-05-11-12-25-54-utc-C606169-ClientDraft-D1.3\tm2314307d2_ex99-1.pdf" TargetMode="External"/><Relationship Id="rId4" Type="http://schemas.openxmlformats.org/officeDocument/2006/relationships/hyperlink" Target="file:///\\tm.toppanmerrill.com\chi4\ActiveJobs\tm2314307-2\tm2314307-2_6kseq1\captures\v000.01-2023-05-11-12-25-54-utc-C606169-ClientDraft-D1.3\tm2314307d2_ex9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Toppanmerrill</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Mariyappan, Vignesh</dc:creator>
  <cp:keywords/>
  <dc:description/>
  <cp:lastModifiedBy>Mariyappan, Vignesh</cp:lastModifiedBy>
  <cp:revision>2</cp:revision>
  <dcterms:created xsi:type="dcterms:W3CDTF">2023-05-11T12:26:00Z</dcterms:created>
  <dcterms:modified xsi:type="dcterms:W3CDTF">2023-05-11T12:26:00Z</dcterms:modified>
</cp:coreProperties>
</file>