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0229" w14:textId="77777777" w:rsidR="00066A06" w:rsidRDefault="00E5361E">
      <w:pPr>
        <w:pStyle w:val="NormalWeb"/>
        <w:rPr>
          <w:sz w:val="20"/>
          <w:szCs w:val="20"/>
        </w:rPr>
      </w:pPr>
      <w:r>
        <w:rPr>
          <w:sz w:val="20"/>
          <w:szCs w:val="20"/>
        </w:rPr>
        <w:t> </w:t>
      </w:r>
    </w:p>
    <w:p w14:paraId="44BB8555" w14:textId="77777777" w:rsidR="00066A06" w:rsidRDefault="00E5361E">
      <w:pPr>
        <w:pStyle w:val="NormalWeb"/>
        <w:spacing w:before="0" w:beforeAutospacing="0" w:after="0" w:afterAutospacing="0"/>
        <w:rPr>
          <w:sz w:val="20"/>
          <w:szCs w:val="20"/>
        </w:rPr>
      </w:pPr>
      <w:r>
        <w:rPr>
          <w:sz w:val="20"/>
          <w:szCs w:val="20"/>
        </w:rPr>
        <w:t> </w:t>
      </w:r>
    </w:p>
    <w:p w14:paraId="68F6EEAF" w14:textId="77777777" w:rsidR="00066A06" w:rsidRDefault="00E5361E">
      <w:pPr>
        <w:divId w:val="1271812721"/>
        <w:rPr>
          <w:rFonts w:eastAsia="Times New Roman"/>
          <w:sz w:val="2"/>
          <w:szCs w:val="2"/>
        </w:rPr>
      </w:pPr>
      <w:r>
        <w:rPr>
          <w:rFonts w:eastAsia="Times New Roman"/>
          <w:sz w:val="2"/>
          <w:szCs w:val="2"/>
        </w:rPr>
        <w:t> </w:t>
      </w:r>
    </w:p>
    <w:p w14:paraId="642FAEF3" w14:textId="77777777" w:rsidR="00066A06" w:rsidRDefault="00E5361E">
      <w:pPr>
        <w:pStyle w:val="NormalWeb"/>
        <w:spacing w:before="0" w:beforeAutospacing="0" w:after="0" w:afterAutospacing="0"/>
        <w:ind w:left="360"/>
        <w:rPr>
          <w:sz w:val="20"/>
          <w:szCs w:val="20"/>
        </w:rPr>
      </w:pPr>
      <w:r>
        <w:rPr>
          <w:sz w:val="20"/>
          <w:szCs w:val="20"/>
        </w:rPr>
        <w:t> </w:t>
      </w:r>
    </w:p>
    <w:p w14:paraId="14579864" w14:textId="77777777" w:rsidR="00066A06" w:rsidRDefault="00E5361E">
      <w:pPr>
        <w:pStyle w:val="NormalWeb"/>
        <w:spacing w:before="0" w:beforeAutospacing="0" w:after="0" w:afterAutospacing="0"/>
        <w:jc w:val="center"/>
        <w:rPr>
          <w:sz w:val="28"/>
          <w:szCs w:val="28"/>
        </w:rPr>
      </w:pPr>
      <w:r>
        <w:rPr>
          <w:b/>
          <w:bCs/>
          <w:sz w:val="28"/>
          <w:szCs w:val="28"/>
        </w:rPr>
        <w:t>UNITED STATES</w:t>
      </w:r>
    </w:p>
    <w:p w14:paraId="7F7DEE52" w14:textId="77777777" w:rsidR="00066A06" w:rsidRDefault="00E5361E">
      <w:pPr>
        <w:pStyle w:val="NormalWeb"/>
        <w:spacing w:before="0" w:beforeAutospacing="0" w:after="0" w:afterAutospacing="0"/>
        <w:jc w:val="center"/>
        <w:rPr>
          <w:sz w:val="28"/>
          <w:szCs w:val="28"/>
        </w:rPr>
      </w:pPr>
      <w:r>
        <w:rPr>
          <w:b/>
          <w:bCs/>
          <w:sz w:val="28"/>
          <w:szCs w:val="28"/>
        </w:rPr>
        <w:t>SECURITIES AND EXCHANGE COMMISSION</w:t>
      </w:r>
      <w:r>
        <w:rPr>
          <w:sz w:val="28"/>
          <w:szCs w:val="28"/>
        </w:rPr>
        <w:t> </w:t>
      </w:r>
    </w:p>
    <w:p w14:paraId="1D2CB042" w14:textId="77777777" w:rsidR="00066A06" w:rsidRDefault="00E5361E">
      <w:pPr>
        <w:pStyle w:val="NormalWeb"/>
        <w:spacing w:before="0" w:beforeAutospacing="0" w:after="0" w:afterAutospacing="0"/>
        <w:jc w:val="center"/>
        <w:rPr>
          <w:sz w:val="20"/>
          <w:szCs w:val="20"/>
        </w:rPr>
      </w:pPr>
      <w:r>
        <w:rPr>
          <w:b/>
          <w:bCs/>
          <w:sz w:val="20"/>
          <w:szCs w:val="20"/>
        </w:rPr>
        <w:t>Washington, D.C. 20549</w:t>
      </w:r>
    </w:p>
    <w:p w14:paraId="5672A02D" w14:textId="77777777" w:rsidR="00066A06" w:rsidRDefault="00E5361E">
      <w:pPr>
        <w:pStyle w:val="NormalWeb"/>
        <w:spacing w:before="0" w:beforeAutospacing="0" w:after="0" w:afterAutospacing="0"/>
        <w:rPr>
          <w:sz w:val="20"/>
          <w:szCs w:val="20"/>
        </w:rPr>
      </w:pPr>
      <w:r>
        <w:rPr>
          <w:sz w:val="20"/>
          <w:szCs w:val="20"/>
        </w:rPr>
        <w:t> </w:t>
      </w:r>
    </w:p>
    <w:p w14:paraId="0677D424" w14:textId="77777777" w:rsidR="00066A06" w:rsidRDefault="00E5361E">
      <w:pPr>
        <w:pStyle w:val="NormalWeb"/>
        <w:spacing w:before="0" w:beforeAutospacing="0" w:after="0" w:afterAutospacing="0"/>
        <w:jc w:val="center"/>
        <w:rPr>
          <w:sz w:val="36"/>
          <w:szCs w:val="36"/>
        </w:rPr>
      </w:pPr>
      <w:r>
        <w:rPr>
          <w:b/>
          <w:bCs/>
          <w:sz w:val="36"/>
          <w:szCs w:val="36"/>
        </w:rPr>
        <w:t>FORM 6-K</w:t>
      </w:r>
    </w:p>
    <w:p w14:paraId="3E120ADF" w14:textId="77777777" w:rsidR="00066A06" w:rsidRDefault="00E5361E">
      <w:pPr>
        <w:pStyle w:val="NormalWeb"/>
        <w:spacing w:before="0" w:beforeAutospacing="0" w:after="0" w:afterAutospacing="0"/>
        <w:rPr>
          <w:sz w:val="20"/>
          <w:szCs w:val="20"/>
        </w:rPr>
      </w:pPr>
      <w:r>
        <w:rPr>
          <w:sz w:val="20"/>
          <w:szCs w:val="20"/>
        </w:rPr>
        <w:t> </w:t>
      </w:r>
    </w:p>
    <w:p w14:paraId="5537E3C7" w14:textId="77777777" w:rsidR="00066A06" w:rsidRDefault="00E5361E">
      <w:pPr>
        <w:pStyle w:val="NormalWeb"/>
        <w:spacing w:before="0" w:beforeAutospacing="0" w:after="0" w:afterAutospacing="0"/>
        <w:jc w:val="center"/>
        <w:rPr>
          <w:sz w:val="20"/>
          <w:szCs w:val="20"/>
        </w:rPr>
      </w:pPr>
      <w:r>
        <w:rPr>
          <w:b/>
          <w:bCs/>
          <w:sz w:val="20"/>
          <w:szCs w:val="20"/>
        </w:rPr>
        <w:t>REPORT OF FOREIGN PRIVATE ISSUER PURSUANT TO RULE 13a-16 OR 15d-16 OF THE SECURITIES EXCHANGE ACT OF 1934</w:t>
      </w:r>
    </w:p>
    <w:p w14:paraId="5C2A302B" w14:textId="77777777" w:rsidR="00066A06" w:rsidRDefault="00E5361E">
      <w:pPr>
        <w:pStyle w:val="NormalWeb"/>
        <w:spacing w:before="0" w:beforeAutospacing="0" w:after="0" w:afterAutospacing="0"/>
        <w:rPr>
          <w:sz w:val="20"/>
          <w:szCs w:val="20"/>
        </w:rPr>
      </w:pPr>
      <w:r>
        <w:rPr>
          <w:sz w:val="20"/>
          <w:szCs w:val="20"/>
        </w:rPr>
        <w:t> </w:t>
      </w:r>
    </w:p>
    <w:p w14:paraId="5986CA85" w14:textId="77777777" w:rsidR="00066A06" w:rsidRDefault="00E5361E">
      <w:pPr>
        <w:pStyle w:val="NormalWeb"/>
        <w:spacing w:before="0" w:beforeAutospacing="0" w:after="0" w:afterAutospacing="0"/>
        <w:jc w:val="center"/>
        <w:rPr>
          <w:sz w:val="20"/>
          <w:szCs w:val="20"/>
        </w:rPr>
      </w:pPr>
      <w:r>
        <w:rPr>
          <w:b/>
          <w:bCs/>
          <w:sz w:val="20"/>
          <w:szCs w:val="20"/>
        </w:rPr>
        <w:t>For the month of: April 2023</w:t>
      </w:r>
    </w:p>
    <w:p w14:paraId="2314358C" w14:textId="77777777" w:rsidR="00066A06" w:rsidRDefault="00E5361E">
      <w:pPr>
        <w:pStyle w:val="NormalWeb"/>
        <w:spacing w:before="0" w:beforeAutospacing="0" w:after="0" w:afterAutospacing="0"/>
        <w:rPr>
          <w:sz w:val="20"/>
          <w:szCs w:val="20"/>
        </w:rPr>
      </w:pPr>
      <w:r>
        <w:rPr>
          <w:sz w:val="20"/>
          <w:szCs w:val="20"/>
        </w:rPr>
        <w:t> </w:t>
      </w:r>
    </w:p>
    <w:p w14:paraId="5956FE8B" w14:textId="77777777" w:rsidR="00066A06" w:rsidRDefault="00E5361E">
      <w:pPr>
        <w:pStyle w:val="NormalWeb"/>
        <w:spacing w:before="0" w:beforeAutospacing="0" w:after="0" w:afterAutospacing="0"/>
        <w:jc w:val="center"/>
        <w:rPr>
          <w:sz w:val="20"/>
          <w:szCs w:val="20"/>
        </w:rPr>
      </w:pPr>
      <w:r>
        <w:rPr>
          <w:b/>
          <w:bCs/>
          <w:sz w:val="20"/>
          <w:szCs w:val="20"/>
        </w:rPr>
        <w:t>001-41641</w:t>
      </w:r>
      <w:r>
        <w:rPr>
          <w:sz w:val="20"/>
          <w:szCs w:val="20"/>
        </w:rPr>
        <w:t> </w:t>
      </w:r>
    </w:p>
    <w:p w14:paraId="79700DA8" w14:textId="77777777" w:rsidR="00066A06" w:rsidRDefault="00E5361E">
      <w:pPr>
        <w:pStyle w:val="NormalWeb"/>
        <w:spacing w:before="0" w:beforeAutospacing="0" w:after="0" w:afterAutospacing="0"/>
        <w:jc w:val="center"/>
        <w:rPr>
          <w:sz w:val="20"/>
          <w:szCs w:val="20"/>
        </w:rPr>
      </w:pPr>
      <w:r>
        <w:rPr>
          <w:b/>
          <w:bCs/>
          <w:sz w:val="20"/>
          <w:szCs w:val="20"/>
        </w:rPr>
        <w:t>(Commission File Number)</w:t>
      </w:r>
    </w:p>
    <w:p w14:paraId="5AC8ED33" w14:textId="77777777" w:rsidR="00066A06" w:rsidRDefault="00E5361E">
      <w:pPr>
        <w:pStyle w:val="NormalWeb"/>
        <w:spacing w:before="0" w:beforeAutospacing="0" w:after="0" w:afterAutospacing="0"/>
        <w:rPr>
          <w:sz w:val="20"/>
          <w:szCs w:val="20"/>
        </w:rPr>
      </w:pPr>
      <w:r>
        <w:rPr>
          <w:sz w:val="20"/>
          <w:szCs w:val="20"/>
        </w:rPr>
        <w:t> </w:t>
      </w:r>
    </w:p>
    <w:p w14:paraId="6940B170" w14:textId="77777777" w:rsidR="00066A06" w:rsidRDefault="00E5361E">
      <w:pPr>
        <w:pStyle w:val="NormalWeb"/>
        <w:spacing w:before="0" w:beforeAutospacing="0" w:after="0" w:afterAutospacing="0"/>
        <w:jc w:val="center"/>
        <w:rPr>
          <w:sz w:val="48"/>
          <w:szCs w:val="48"/>
        </w:rPr>
      </w:pPr>
      <w:r>
        <w:rPr>
          <w:b/>
          <w:bCs/>
          <w:sz w:val="48"/>
          <w:szCs w:val="48"/>
        </w:rPr>
        <w:t>SHL TELEMEDICINE LTD.</w:t>
      </w:r>
      <w:r>
        <w:rPr>
          <w:sz w:val="48"/>
          <w:szCs w:val="48"/>
        </w:rPr>
        <w:t> </w:t>
      </w:r>
    </w:p>
    <w:p w14:paraId="71E415D0" w14:textId="77777777" w:rsidR="00066A06" w:rsidRDefault="00E5361E">
      <w:pPr>
        <w:pStyle w:val="NormalWeb"/>
        <w:spacing w:before="0" w:beforeAutospacing="0" w:after="0" w:afterAutospacing="0"/>
        <w:jc w:val="center"/>
        <w:rPr>
          <w:sz w:val="20"/>
          <w:szCs w:val="20"/>
        </w:rPr>
      </w:pPr>
      <w:r>
        <w:rPr>
          <w:sz w:val="20"/>
          <w:szCs w:val="20"/>
        </w:rPr>
        <w:t>(Translation of registrant’s name into English)</w:t>
      </w:r>
    </w:p>
    <w:p w14:paraId="5625BDA1" w14:textId="77777777" w:rsidR="00066A06" w:rsidRDefault="00E5361E">
      <w:pPr>
        <w:pStyle w:val="NormalWeb"/>
        <w:spacing w:before="0" w:beforeAutospacing="0" w:after="0" w:afterAutospacing="0"/>
        <w:rPr>
          <w:sz w:val="20"/>
          <w:szCs w:val="20"/>
        </w:rPr>
      </w:pPr>
      <w:r>
        <w:rPr>
          <w:sz w:val="20"/>
          <w:szCs w:val="20"/>
        </w:rPr>
        <w:t> </w:t>
      </w:r>
    </w:p>
    <w:p w14:paraId="00E8A714" w14:textId="77777777" w:rsidR="00066A06" w:rsidRDefault="00E5361E">
      <w:pPr>
        <w:pStyle w:val="NormalWeb"/>
        <w:spacing w:before="0" w:beforeAutospacing="0" w:after="0" w:afterAutospacing="0"/>
        <w:jc w:val="center"/>
        <w:rPr>
          <w:sz w:val="20"/>
          <w:szCs w:val="20"/>
        </w:rPr>
      </w:pPr>
      <w:r>
        <w:rPr>
          <w:b/>
          <w:bCs/>
          <w:sz w:val="20"/>
          <w:szCs w:val="20"/>
        </w:rPr>
        <w:t>90 Yigal Alon Street</w:t>
      </w:r>
      <w:r>
        <w:rPr>
          <w:sz w:val="20"/>
          <w:szCs w:val="20"/>
        </w:rPr>
        <w:t> </w:t>
      </w:r>
    </w:p>
    <w:p w14:paraId="785E58B8" w14:textId="77777777" w:rsidR="00066A06" w:rsidRDefault="00E5361E">
      <w:pPr>
        <w:pStyle w:val="NormalWeb"/>
        <w:spacing w:before="0" w:beforeAutospacing="0" w:after="0" w:afterAutospacing="0"/>
        <w:jc w:val="center"/>
        <w:rPr>
          <w:sz w:val="20"/>
          <w:szCs w:val="20"/>
        </w:rPr>
      </w:pPr>
      <w:r>
        <w:rPr>
          <w:b/>
          <w:bCs/>
          <w:sz w:val="20"/>
          <w:szCs w:val="20"/>
        </w:rPr>
        <w:t>Tel Aviv 67891, Israel</w:t>
      </w:r>
      <w:r>
        <w:rPr>
          <w:sz w:val="20"/>
          <w:szCs w:val="20"/>
        </w:rPr>
        <w:t> </w:t>
      </w:r>
    </w:p>
    <w:p w14:paraId="567E7C5C" w14:textId="77777777" w:rsidR="00066A06" w:rsidRDefault="00E5361E">
      <w:pPr>
        <w:pStyle w:val="NormalWeb"/>
        <w:spacing w:before="0" w:beforeAutospacing="0" w:after="0" w:afterAutospacing="0"/>
        <w:jc w:val="center"/>
        <w:rPr>
          <w:sz w:val="20"/>
          <w:szCs w:val="20"/>
        </w:rPr>
      </w:pPr>
      <w:r>
        <w:rPr>
          <w:sz w:val="20"/>
          <w:szCs w:val="20"/>
        </w:rPr>
        <w:t>(Address of principal executive offices)</w:t>
      </w:r>
    </w:p>
    <w:p w14:paraId="4D75C1FE" w14:textId="77777777" w:rsidR="00066A06" w:rsidRDefault="00E5361E">
      <w:pPr>
        <w:pStyle w:val="NormalWeb"/>
        <w:spacing w:before="0" w:beforeAutospacing="0" w:after="0" w:afterAutospacing="0"/>
        <w:rPr>
          <w:sz w:val="20"/>
          <w:szCs w:val="20"/>
        </w:rPr>
      </w:pPr>
      <w:r>
        <w:rPr>
          <w:sz w:val="20"/>
          <w:szCs w:val="20"/>
        </w:rPr>
        <w:t> </w:t>
      </w:r>
    </w:p>
    <w:p w14:paraId="39A00EAE" w14:textId="77777777" w:rsidR="00066A06" w:rsidRDefault="00E5361E">
      <w:pPr>
        <w:pStyle w:val="NormalWeb"/>
        <w:spacing w:before="0" w:beforeAutospacing="0" w:after="0" w:afterAutospacing="0"/>
        <w:ind w:left="720" w:hanging="360"/>
        <w:rPr>
          <w:sz w:val="20"/>
          <w:szCs w:val="20"/>
        </w:rPr>
      </w:pPr>
      <w:r>
        <w:rPr>
          <w:sz w:val="20"/>
          <w:szCs w:val="20"/>
        </w:rPr>
        <w:t xml:space="preserve">Indicate by check mark whether the registrant files or will </w:t>
      </w:r>
      <w:r>
        <w:rPr>
          <w:sz w:val="20"/>
          <w:szCs w:val="20"/>
        </w:rPr>
        <w:t>file annual reports under cover Form 20-F or Form 40-F.</w:t>
      </w:r>
    </w:p>
    <w:p w14:paraId="4C600825" w14:textId="77777777" w:rsidR="00066A06" w:rsidRDefault="00E5361E">
      <w:pPr>
        <w:pStyle w:val="NormalWeb"/>
        <w:spacing w:before="0" w:beforeAutospacing="0" w:after="0" w:afterAutospacing="0"/>
        <w:rPr>
          <w:sz w:val="20"/>
          <w:szCs w:val="20"/>
        </w:rPr>
      </w:pPr>
      <w:r>
        <w:rPr>
          <w:sz w:val="20"/>
          <w:szCs w:val="20"/>
        </w:rPr>
        <w:t> </w:t>
      </w:r>
    </w:p>
    <w:p w14:paraId="1B25529A" w14:textId="77777777" w:rsidR="00066A06" w:rsidRDefault="00E5361E">
      <w:pPr>
        <w:pStyle w:val="NormalWeb"/>
        <w:spacing w:before="0" w:beforeAutospacing="0" w:after="0" w:afterAutospacing="0"/>
        <w:jc w:val="center"/>
        <w:rPr>
          <w:sz w:val="20"/>
          <w:szCs w:val="20"/>
        </w:rPr>
      </w:pPr>
      <w:r>
        <w:rPr>
          <w:sz w:val="20"/>
          <w:szCs w:val="20"/>
        </w:rPr>
        <w:t xml:space="preserve">Form 20-F </w:t>
      </w:r>
      <w:r>
        <w:rPr>
          <w:rFonts w:ascii="Wingdings" w:hAnsi="Wingdings"/>
          <w:sz w:val="20"/>
          <w:szCs w:val="20"/>
        </w:rPr>
        <w:t>x</w:t>
      </w:r>
      <w:r>
        <w:rPr>
          <w:sz w:val="20"/>
          <w:szCs w:val="20"/>
        </w:rPr>
        <w:t xml:space="preserve"> Form 40-F </w:t>
      </w:r>
      <w:r>
        <w:rPr>
          <w:rFonts w:ascii="Wingdings" w:hAnsi="Wingdings"/>
          <w:sz w:val="20"/>
          <w:szCs w:val="20"/>
        </w:rPr>
        <w:t>¨</w:t>
      </w:r>
    </w:p>
    <w:p w14:paraId="01DEABA6" w14:textId="77777777" w:rsidR="00066A06" w:rsidRDefault="00E5361E">
      <w:pPr>
        <w:pStyle w:val="NormalWeb"/>
        <w:spacing w:before="0" w:beforeAutospacing="0" w:after="0" w:afterAutospacing="0"/>
        <w:rPr>
          <w:sz w:val="20"/>
          <w:szCs w:val="20"/>
        </w:rPr>
      </w:pPr>
      <w:r>
        <w:rPr>
          <w:sz w:val="20"/>
          <w:szCs w:val="20"/>
        </w:rPr>
        <w:t> </w:t>
      </w:r>
    </w:p>
    <w:p w14:paraId="566BC0A4" w14:textId="77777777" w:rsidR="00066A06" w:rsidRDefault="00E5361E">
      <w:pPr>
        <w:divId w:val="2010132249"/>
        <w:rPr>
          <w:rFonts w:eastAsia="Times New Roman"/>
          <w:sz w:val="2"/>
          <w:szCs w:val="2"/>
        </w:rPr>
      </w:pPr>
      <w:r>
        <w:rPr>
          <w:rFonts w:eastAsia="Times New Roman"/>
          <w:sz w:val="2"/>
          <w:szCs w:val="2"/>
        </w:rPr>
        <w:t> </w:t>
      </w:r>
    </w:p>
    <w:p w14:paraId="7ECA3C67" w14:textId="77777777" w:rsidR="00066A06" w:rsidRDefault="00E5361E">
      <w:pPr>
        <w:pStyle w:val="NormalWeb"/>
        <w:spacing w:before="0" w:beforeAutospacing="0" w:after="0" w:afterAutospacing="0"/>
        <w:rPr>
          <w:sz w:val="20"/>
          <w:szCs w:val="20"/>
        </w:rPr>
      </w:pPr>
      <w:r>
        <w:rPr>
          <w:sz w:val="20"/>
          <w:szCs w:val="20"/>
        </w:rPr>
        <w:t> </w:t>
      </w:r>
    </w:p>
    <w:p w14:paraId="2F7C30AF" w14:textId="77777777" w:rsidR="00066A06" w:rsidRDefault="00E5361E">
      <w:pPr>
        <w:pStyle w:val="NormalWeb"/>
        <w:pageBreakBefore/>
        <w:spacing w:before="0" w:beforeAutospacing="0" w:after="0" w:afterAutospacing="0"/>
        <w:divId w:val="601182897"/>
        <w:rPr>
          <w:sz w:val="20"/>
          <w:szCs w:val="20"/>
        </w:rPr>
      </w:pPr>
      <w:r>
        <w:rPr>
          <w:sz w:val="20"/>
          <w:szCs w:val="20"/>
        </w:rPr>
        <w:lastRenderedPageBreak/>
        <w:t> </w:t>
      </w:r>
    </w:p>
    <w:p w14:paraId="4A646764" w14:textId="77777777" w:rsidR="00066A06" w:rsidRDefault="00E5361E">
      <w:pPr>
        <w:pStyle w:val="NormalWeb"/>
        <w:spacing w:before="0" w:beforeAutospacing="0" w:after="0" w:afterAutospacing="0"/>
        <w:rPr>
          <w:sz w:val="20"/>
          <w:szCs w:val="20"/>
        </w:rPr>
      </w:pPr>
      <w:r>
        <w:rPr>
          <w:sz w:val="20"/>
          <w:szCs w:val="20"/>
        </w:rPr>
        <w:t> </w:t>
      </w:r>
    </w:p>
    <w:p w14:paraId="08DF3B8D" w14:textId="77777777" w:rsidR="00066A06" w:rsidRDefault="00E5361E">
      <w:pPr>
        <w:pStyle w:val="NormalWeb"/>
        <w:spacing w:before="0" w:beforeAutospacing="0" w:after="0" w:afterAutospacing="0"/>
        <w:jc w:val="center"/>
        <w:rPr>
          <w:sz w:val="20"/>
          <w:szCs w:val="20"/>
        </w:rPr>
      </w:pPr>
      <w:r>
        <w:rPr>
          <w:b/>
          <w:bCs/>
          <w:sz w:val="20"/>
          <w:szCs w:val="20"/>
        </w:rPr>
        <w:t>INFORMATION CONTAINED IN THIS FORM 6-K REPORT</w:t>
      </w:r>
    </w:p>
    <w:p w14:paraId="76FC49FD" w14:textId="77777777" w:rsidR="00066A06" w:rsidRDefault="00E5361E">
      <w:pPr>
        <w:pStyle w:val="NormalWeb"/>
        <w:spacing w:before="0" w:beforeAutospacing="0" w:after="0" w:afterAutospacing="0"/>
        <w:rPr>
          <w:sz w:val="20"/>
          <w:szCs w:val="20"/>
        </w:rPr>
      </w:pPr>
      <w:r>
        <w:rPr>
          <w:sz w:val="20"/>
          <w:szCs w:val="20"/>
        </w:rPr>
        <w:t> </w:t>
      </w:r>
    </w:p>
    <w:p w14:paraId="47AF70D6" w14:textId="77777777" w:rsidR="00066A06" w:rsidRDefault="00E5361E">
      <w:pPr>
        <w:pStyle w:val="NormalWeb"/>
        <w:spacing w:before="0" w:beforeAutospacing="0" w:after="0" w:afterAutospacing="0"/>
        <w:ind w:firstLine="360"/>
        <w:jc w:val="both"/>
        <w:rPr>
          <w:sz w:val="20"/>
          <w:szCs w:val="20"/>
        </w:rPr>
      </w:pPr>
      <w:r>
        <w:rPr>
          <w:sz w:val="20"/>
          <w:szCs w:val="20"/>
        </w:rPr>
        <w:t xml:space="preserve">On April 4, 2023, SHL Telemedicine Ltd. (the "Company") issued a press release announcing that Mr. Bernd </w:t>
      </w:r>
      <w:proofErr w:type="spellStart"/>
      <w:r>
        <w:rPr>
          <w:sz w:val="20"/>
          <w:szCs w:val="20"/>
        </w:rPr>
        <w:t>Altpeter</w:t>
      </w:r>
      <w:proofErr w:type="spellEnd"/>
      <w:r>
        <w:rPr>
          <w:sz w:val="20"/>
          <w:szCs w:val="20"/>
        </w:rPr>
        <w:t xml:space="preserve"> was nominated as Co-Managing Director of the SHL German Operation. A copy of the press release is attached hereto as Exhibit 99.1 and is incorporated herein by reference. The press release contains forward-looking statements and includes cautionar</w:t>
      </w:r>
      <w:r>
        <w:rPr>
          <w:sz w:val="20"/>
          <w:szCs w:val="20"/>
        </w:rPr>
        <w:t>y statements identifying important factors that could cause actual results to differ materially from those in the forward-looking statements.</w:t>
      </w:r>
    </w:p>
    <w:p w14:paraId="30889A62" w14:textId="77777777" w:rsidR="00066A06" w:rsidRDefault="00E5361E">
      <w:pPr>
        <w:pStyle w:val="NormalWeb"/>
        <w:spacing w:before="0" w:beforeAutospacing="0" w:after="0" w:afterAutospacing="0"/>
        <w:rPr>
          <w:sz w:val="20"/>
          <w:szCs w:val="20"/>
        </w:rPr>
      </w:pPr>
      <w:r>
        <w:rPr>
          <w:sz w:val="20"/>
          <w:szCs w:val="20"/>
        </w:rPr>
        <w:t> </w:t>
      </w:r>
    </w:p>
    <w:p w14:paraId="039776E0" w14:textId="77777777" w:rsidR="00066A06" w:rsidRDefault="00E5361E">
      <w:pPr>
        <w:pStyle w:val="NormalWeb"/>
        <w:pageBreakBefore/>
        <w:spacing w:before="0" w:beforeAutospacing="0" w:after="0" w:afterAutospacing="0"/>
        <w:divId w:val="1905943024"/>
        <w:rPr>
          <w:sz w:val="20"/>
          <w:szCs w:val="20"/>
        </w:rPr>
      </w:pPr>
      <w:r>
        <w:rPr>
          <w:sz w:val="20"/>
          <w:szCs w:val="20"/>
        </w:rPr>
        <w:lastRenderedPageBreak/>
        <w:t> </w:t>
      </w:r>
    </w:p>
    <w:p w14:paraId="64B8179C" w14:textId="77777777" w:rsidR="00066A06" w:rsidRDefault="00E5361E">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49"/>
        <w:gridCol w:w="187"/>
        <w:gridCol w:w="8424"/>
      </w:tblGrid>
      <w:tr w:rsidR="00066A06" w14:paraId="46B04753" w14:textId="77777777">
        <w:trPr>
          <w:tblCellSpacing w:w="0" w:type="dxa"/>
        </w:trPr>
        <w:tc>
          <w:tcPr>
            <w:tcW w:w="0" w:type="auto"/>
            <w:tcBorders>
              <w:bottom w:val="single" w:sz="8" w:space="0" w:color="000000"/>
            </w:tcBorders>
            <w:hideMark/>
          </w:tcPr>
          <w:p w14:paraId="056EAA45" w14:textId="77777777" w:rsidR="00066A06" w:rsidRDefault="00E5361E">
            <w:pPr>
              <w:jc w:val="center"/>
              <w:rPr>
                <w:rFonts w:eastAsia="Times New Roman"/>
                <w:sz w:val="20"/>
                <w:szCs w:val="20"/>
              </w:rPr>
            </w:pPr>
            <w:r>
              <w:rPr>
                <w:rFonts w:eastAsia="Times New Roman"/>
                <w:b/>
                <w:bCs/>
                <w:sz w:val="20"/>
                <w:szCs w:val="20"/>
              </w:rPr>
              <w:t>Exhibit</w:t>
            </w:r>
          </w:p>
        </w:tc>
        <w:tc>
          <w:tcPr>
            <w:tcW w:w="0" w:type="auto"/>
            <w:hideMark/>
          </w:tcPr>
          <w:p w14:paraId="0186D071" w14:textId="77777777" w:rsidR="00066A06" w:rsidRDefault="00E5361E">
            <w:pPr>
              <w:rPr>
                <w:rFonts w:eastAsia="Times New Roman"/>
                <w:sz w:val="20"/>
                <w:szCs w:val="20"/>
              </w:rPr>
            </w:pPr>
            <w:r>
              <w:rPr>
                <w:rFonts w:eastAsia="Times New Roman"/>
                <w:sz w:val="20"/>
                <w:szCs w:val="20"/>
              </w:rPr>
              <w:t> </w:t>
            </w:r>
          </w:p>
        </w:tc>
        <w:tc>
          <w:tcPr>
            <w:tcW w:w="0" w:type="auto"/>
            <w:tcBorders>
              <w:bottom w:val="single" w:sz="8" w:space="0" w:color="000000"/>
            </w:tcBorders>
            <w:hideMark/>
          </w:tcPr>
          <w:p w14:paraId="2BF73B72" w14:textId="77777777" w:rsidR="00066A06" w:rsidRDefault="00E5361E">
            <w:pPr>
              <w:rPr>
                <w:rFonts w:eastAsia="Times New Roman"/>
                <w:sz w:val="20"/>
                <w:szCs w:val="20"/>
              </w:rPr>
            </w:pPr>
            <w:r>
              <w:rPr>
                <w:rFonts w:eastAsia="Times New Roman"/>
                <w:b/>
                <w:bCs/>
                <w:sz w:val="20"/>
                <w:szCs w:val="20"/>
              </w:rPr>
              <w:t>Description</w:t>
            </w:r>
          </w:p>
        </w:tc>
      </w:tr>
      <w:tr w:rsidR="00066A06" w14:paraId="63C09BC5" w14:textId="77777777">
        <w:trPr>
          <w:tblCellSpacing w:w="0" w:type="dxa"/>
        </w:trPr>
        <w:tc>
          <w:tcPr>
            <w:tcW w:w="400" w:type="pct"/>
            <w:hideMark/>
          </w:tcPr>
          <w:p w14:paraId="73AD285C" w14:textId="77777777" w:rsidR="00066A06" w:rsidRDefault="00E5361E">
            <w:pPr>
              <w:jc w:val="center"/>
              <w:rPr>
                <w:rFonts w:eastAsia="Times New Roman"/>
                <w:sz w:val="20"/>
                <w:szCs w:val="20"/>
              </w:rPr>
            </w:pPr>
            <w:hyperlink r:id="rId4" w:history="1">
              <w:r>
                <w:rPr>
                  <w:rStyle w:val="Hyperlink"/>
                  <w:rFonts w:eastAsia="Times New Roman"/>
                  <w:sz w:val="20"/>
                  <w:szCs w:val="20"/>
                </w:rPr>
                <w:t>99.1</w:t>
              </w:r>
            </w:hyperlink>
          </w:p>
        </w:tc>
        <w:tc>
          <w:tcPr>
            <w:tcW w:w="100" w:type="pct"/>
            <w:hideMark/>
          </w:tcPr>
          <w:p w14:paraId="54F2347A" w14:textId="77777777" w:rsidR="00066A06" w:rsidRDefault="00E5361E">
            <w:pPr>
              <w:rPr>
                <w:rFonts w:eastAsia="Times New Roman"/>
                <w:sz w:val="20"/>
                <w:szCs w:val="20"/>
              </w:rPr>
            </w:pPr>
            <w:r>
              <w:rPr>
                <w:rFonts w:eastAsia="Times New Roman"/>
                <w:sz w:val="20"/>
                <w:szCs w:val="20"/>
              </w:rPr>
              <w:t> </w:t>
            </w:r>
          </w:p>
        </w:tc>
        <w:tc>
          <w:tcPr>
            <w:tcW w:w="4500" w:type="pct"/>
            <w:hideMark/>
          </w:tcPr>
          <w:p w14:paraId="6AD40B41" w14:textId="77777777" w:rsidR="00066A06" w:rsidRDefault="00E5361E">
            <w:pPr>
              <w:rPr>
                <w:rFonts w:eastAsia="Times New Roman"/>
                <w:sz w:val="20"/>
                <w:szCs w:val="20"/>
              </w:rPr>
            </w:pPr>
            <w:hyperlink r:id="rId5" w:history="1">
              <w:r>
                <w:rPr>
                  <w:rStyle w:val="Hyperlink"/>
                  <w:rFonts w:eastAsia="Times New Roman"/>
                  <w:sz w:val="20"/>
                  <w:szCs w:val="20"/>
                </w:rPr>
                <w:t>Press Release dated April 4, 2023</w:t>
              </w:r>
            </w:hyperlink>
          </w:p>
        </w:tc>
      </w:tr>
    </w:tbl>
    <w:p w14:paraId="6F24C8C7" w14:textId="77777777" w:rsidR="00066A06" w:rsidRDefault="00E5361E">
      <w:pPr>
        <w:pStyle w:val="NormalWeb"/>
        <w:spacing w:before="0" w:beforeAutospacing="0" w:after="0" w:afterAutospacing="0"/>
        <w:rPr>
          <w:sz w:val="20"/>
          <w:szCs w:val="20"/>
        </w:rPr>
      </w:pPr>
      <w:r>
        <w:rPr>
          <w:sz w:val="20"/>
          <w:szCs w:val="20"/>
        </w:rPr>
        <w:t> </w:t>
      </w:r>
    </w:p>
    <w:p w14:paraId="71376FED" w14:textId="77777777" w:rsidR="00066A06" w:rsidRDefault="00E5361E">
      <w:pPr>
        <w:pStyle w:val="NormalWeb"/>
        <w:pageBreakBefore/>
        <w:spacing w:before="0" w:beforeAutospacing="0" w:after="0" w:afterAutospacing="0"/>
        <w:divId w:val="1450582683"/>
        <w:rPr>
          <w:sz w:val="20"/>
          <w:szCs w:val="20"/>
        </w:rPr>
      </w:pPr>
      <w:r>
        <w:rPr>
          <w:sz w:val="20"/>
          <w:szCs w:val="20"/>
        </w:rPr>
        <w:lastRenderedPageBreak/>
        <w:t> </w:t>
      </w:r>
    </w:p>
    <w:p w14:paraId="76CDDE31" w14:textId="77777777" w:rsidR="00066A06" w:rsidRDefault="00E5361E">
      <w:pPr>
        <w:pStyle w:val="NormalWeb"/>
        <w:spacing w:before="0" w:beforeAutospacing="0" w:after="0" w:afterAutospacing="0"/>
        <w:rPr>
          <w:sz w:val="20"/>
          <w:szCs w:val="20"/>
        </w:rPr>
      </w:pPr>
      <w:r>
        <w:rPr>
          <w:sz w:val="20"/>
          <w:szCs w:val="20"/>
        </w:rPr>
        <w:t> </w:t>
      </w:r>
    </w:p>
    <w:p w14:paraId="52D1EAD2" w14:textId="77777777" w:rsidR="00066A06" w:rsidRDefault="00E5361E">
      <w:pPr>
        <w:pStyle w:val="NormalWeb"/>
        <w:spacing w:before="0" w:beforeAutospacing="0" w:after="0" w:afterAutospacing="0"/>
        <w:jc w:val="center"/>
        <w:rPr>
          <w:sz w:val="20"/>
          <w:szCs w:val="20"/>
        </w:rPr>
      </w:pPr>
      <w:r>
        <w:rPr>
          <w:b/>
          <w:bCs/>
          <w:sz w:val="20"/>
          <w:szCs w:val="20"/>
        </w:rPr>
        <w:t>SIGNATURE</w:t>
      </w:r>
    </w:p>
    <w:p w14:paraId="5A2A5F37" w14:textId="77777777" w:rsidR="00066A06" w:rsidRDefault="00E5361E">
      <w:pPr>
        <w:pStyle w:val="NormalWeb"/>
        <w:spacing w:before="0" w:beforeAutospacing="0" w:after="0" w:afterAutospacing="0"/>
        <w:rPr>
          <w:sz w:val="20"/>
          <w:szCs w:val="20"/>
        </w:rPr>
      </w:pPr>
      <w:r>
        <w:rPr>
          <w:sz w:val="20"/>
          <w:szCs w:val="20"/>
        </w:rPr>
        <w:t> </w:t>
      </w:r>
    </w:p>
    <w:p w14:paraId="2693B486" w14:textId="77777777" w:rsidR="00066A06" w:rsidRDefault="00E5361E">
      <w:pPr>
        <w:pStyle w:val="NormalWeb"/>
        <w:spacing w:before="0" w:beforeAutospacing="0" w:after="0" w:afterAutospacing="0"/>
        <w:ind w:firstLine="360"/>
        <w:jc w:val="both"/>
        <w:rPr>
          <w:sz w:val="20"/>
          <w:szCs w:val="20"/>
        </w:rPr>
      </w:pPr>
      <w:r>
        <w:rPr>
          <w:sz w:val="20"/>
          <w:szCs w:val="20"/>
        </w:rPr>
        <w:t>Pursuant to the requirements of the Securities Exchange Act of 1934, the registrant has duly caused this report to be signed on its behalf by the undersigned, thereunto duly authorized.</w:t>
      </w:r>
    </w:p>
    <w:p w14:paraId="0B812F9B" w14:textId="77777777" w:rsidR="00066A06" w:rsidRDefault="00E5361E">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43"/>
        <w:gridCol w:w="289"/>
        <w:gridCol w:w="534"/>
        <w:gridCol w:w="3894"/>
      </w:tblGrid>
      <w:tr w:rsidR="00066A06" w14:paraId="56E0C1C8" w14:textId="77777777">
        <w:tc>
          <w:tcPr>
            <w:tcW w:w="0" w:type="auto"/>
            <w:vAlign w:val="bottom"/>
            <w:hideMark/>
          </w:tcPr>
          <w:p w14:paraId="760C0640" w14:textId="77777777" w:rsidR="00066A06" w:rsidRDefault="00E5361E">
            <w:pPr>
              <w:rPr>
                <w:rFonts w:eastAsia="Times New Roman"/>
                <w:sz w:val="20"/>
                <w:szCs w:val="20"/>
              </w:rPr>
            </w:pPr>
            <w:r>
              <w:rPr>
                <w:rFonts w:eastAsia="Times New Roman"/>
                <w:sz w:val="20"/>
                <w:szCs w:val="20"/>
              </w:rPr>
              <w:t> </w:t>
            </w:r>
          </w:p>
        </w:tc>
        <w:tc>
          <w:tcPr>
            <w:tcW w:w="0" w:type="auto"/>
            <w:gridSpan w:val="3"/>
            <w:vAlign w:val="bottom"/>
            <w:hideMark/>
          </w:tcPr>
          <w:p w14:paraId="4658C740" w14:textId="77777777" w:rsidR="00066A06" w:rsidRDefault="00E5361E">
            <w:pPr>
              <w:rPr>
                <w:rFonts w:eastAsia="Times New Roman"/>
                <w:b/>
                <w:bCs/>
                <w:sz w:val="20"/>
                <w:szCs w:val="20"/>
              </w:rPr>
            </w:pPr>
            <w:r>
              <w:rPr>
                <w:rFonts w:eastAsia="Times New Roman"/>
                <w:b/>
                <w:bCs/>
                <w:sz w:val="20"/>
                <w:szCs w:val="20"/>
              </w:rPr>
              <w:t>SHL TELEMEDICINE LTD.</w:t>
            </w:r>
          </w:p>
        </w:tc>
      </w:tr>
      <w:tr w:rsidR="00066A06" w14:paraId="311FAF76" w14:textId="77777777">
        <w:tc>
          <w:tcPr>
            <w:tcW w:w="0" w:type="auto"/>
            <w:vAlign w:val="bottom"/>
            <w:hideMark/>
          </w:tcPr>
          <w:p w14:paraId="07770634" w14:textId="77777777" w:rsidR="00066A06" w:rsidRDefault="00E5361E">
            <w:pPr>
              <w:rPr>
                <w:rFonts w:eastAsia="Times New Roman"/>
                <w:sz w:val="20"/>
                <w:szCs w:val="20"/>
              </w:rPr>
            </w:pPr>
            <w:r>
              <w:rPr>
                <w:rFonts w:eastAsia="Times New Roman"/>
                <w:sz w:val="20"/>
                <w:szCs w:val="20"/>
              </w:rPr>
              <w:t> </w:t>
            </w:r>
          </w:p>
        </w:tc>
        <w:tc>
          <w:tcPr>
            <w:tcW w:w="0" w:type="auto"/>
            <w:gridSpan w:val="3"/>
            <w:vAlign w:val="bottom"/>
            <w:hideMark/>
          </w:tcPr>
          <w:p w14:paraId="7C35A59F" w14:textId="77777777" w:rsidR="00066A06" w:rsidRDefault="00E5361E">
            <w:pPr>
              <w:rPr>
                <w:rFonts w:eastAsia="Times New Roman"/>
                <w:sz w:val="20"/>
                <w:szCs w:val="20"/>
              </w:rPr>
            </w:pPr>
            <w:r>
              <w:rPr>
                <w:rFonts w:eastAsia="Times New Roman"/>
                <w:sz w:val="20"/>
                <w:szCs w:val="20"/>
              </w:rPr>
              <w:t> </w:t>
            </w:r>
          </w:p>
        </w:tc>
      </w:tr>
      <w:tr w:rsidR="00066A06" w14:paraId="57920A73" w14:textId="77777777">
        <w:tc>
          <w:tcPr>
            <w:tcW w:w="0" w:type="auto"/>
            <w:vAlign w:val="bottom"/>
            <w:hideMark/>
          </w:tcPr>
          <w:p w14:paraId="279B0E85" w14:textId="77777777" w:rsidR="00066A06" w:rsidRDefault="00E5361E">
            <w:pPr>
              <w:rPr>
                <w:rFonts w:eastAsia="Times New Roman"/>
                <w:sz w:val="20"/>
                <w:szCs w:val="20"/>
              </w:rPr>
            </w:pPr>
            <w:r>
              <w:rPr>
                <w:rFonts w:eastAsia="Times New Roman"/>
                <w:sz w:val="20"/>
                <w:szCs w:val="20"/>
              </w:rPr>
              <w:t> </w:t>
            </w:r>
          </w:p>
        </w:tc>
        <w:tc>
          <w:tcPr>
            <w:tcW w:w="0" w:type="auto"/>
            <w:vAlign w:val="bottom"/>
            <w:hideMark/>
          </w:tcPr>
          <w:p w14:paraId="0288D731" w14:textId="77777777" w:rsidR="00066A06" w:rsidRDefault="00E5361E">
            <w:pPr>
              <w:rPr>
                <w:rFonts w:eastAsia="Times New Roman"/>
                <w:sz w:val="20"/>
                <w:szCs w:val="20"/>
              </w:rPr>
            </w:pPr>
            <w:r>
              <w:rPr>
                <w:rFonts w:eastAsia="Times New Roman"/>
                <w:sz w:val="20"/>
                <w:szCs w:val="20"/>
              </w:rPr>
              <w:t>By:</w:t>
            </w:r>
          </w:p>
        </w:tc>
        <w:tc>
          <w:tcPr>
            <w:tcW w:w="0" w:type="auto"/>
            <w:gridSpan w:val="2"/>
            <w:tcBorders>
              <w:bottom w:val="single" w:sz="8" w:space="0" w:color="000000"/>
            </w:tcBorders>
            <w:vAlign w:val="bottom"/>
            <w:hideMark/>
          </w:tcPr>
          <w:p w14:paraId="56B4223B" w14:textId="77777777" w:rsidR="00066A06" w:rsidRDefault="00E5361E">
            <w:pPr>
              <w:rPr>
                <w:rFonts w:eastAsia="Times New Roman"/>
                <w:sz w:val="20"/>
                <w:szCs w:val="20"/>
              </w:rPr>
            </w:pPr>
            <w:r>
              <w:rPr>
                <w:rFonts w:eastAsia="Times New Roman"/>
                <w:sz w:val="20"/>
                <w:szCs w:val="20"/>
              </w:rPr>
              <w:t xml:space="preserve">/s/ Erez </w:t>
            </w:r>
            <w:r>
              <w:rPr>
                <w:rFonts w:eastAsia="Times New Roman"/>
                <w:sz w:val="20"/>
                <w:szCs w:val="20"/>
              </w:rPr>
              <w:t>Nachtomy</w:t>
            </w:r>
          </w:p>
        </w:tc>
      </w:tr>
      <w:tr w:rsidR="00066A06" w14:paraId="75E9331E" w14:textId="77777777">
        <w:tc>
          <w:tcPr>
            <w:tcW w:w="2500" w:type="pct"/>
            <w:vAlign w:val="bottom"/>
            <w:hideMark/>
          </w:tcPr>
          <w:p w14:paraId="18A7C688" w14:textId="77777777" w:rsidR="00066A06" w:rsidRDefault="00E5361E">
            <w:pPr>
              <w:rPr>
                <w:rFonts w:eastAsia="Times New Roman"/>
                <w:sz w:val="20"/>
                <w:szCs w:val="20"/>
              </w:rPr>
            </w:pPr>
            <w:r>
              <w:rPr>
                <w:rFonts w:eastAsia="Times New Roman"/>
                <w:sz w:val="20"/>
                <w:szCs w:val="20"/>
              </w:rPr>
              <w:t> </w:t>
            </w:r>
          </w:p>
        </w:tc>
        <w:tc>
          <w:tcPr>
            <w:tcW w:w="150" w:type="pct"/>
            <w:vAlign w:val="bottom"/>
            <w:hideMark/>
          </w:tcPr>
          <w:p w14:paraId="77780055" w14:textId="77777777" w:rsidR="00066A06" w:rsidRDefault="00E5361E">
            <w:pPr>
              <w:rPr>
                <w:rFonts w:eastAsia="Times New Roman"/>
                <w:sz w:val="20"/>
                <w:szCs w:val="20"/>
              </w:rPr>
            </w:pPr>
            <w:r>
              <w:rPr>
                <w:rFonts w:eastAsia="Times New Roman"/>
                <w:sz w:val="20"/>
                <w:szCs w:val="20"/>
              </w:rPr>
              <w:t> </w:t>
            </w:r>
          </w:p>
        </w:tc>
        <w:tc>
          <w:tcPr>
            <w:tcW w:w="250" w:type="pct"/>
            <w:vAlign w:val="bottom"/>
            <w:hideMark/>
          </w:tcPr>
          <w:p w14:paraId="51B1AE2B" w14:textId="77777777" w:rsidR="00066A06" w:rsidRDefault="00E5361E">
            <w:pPr>
              <w:rPr>
                <w:rFonts w:eastAsia="Times New Roman"/>
                <w:sz w:val="20"/>
                <w:szCs w:val="20"/>
              </w:rPr>
            </w:pPr>
            <w:r>
              <w:rPr>
                <w:rFonts w:eastAsia="Times New Roman"/>
                <w:sz w:val="20"/>
                <w:szCs w:val="20"/>
              </w:rPr>
              <w:t>Name:</w:t>
            </w:r>
          </w:p>
        </w:tc>
        <w:tc>
          <w:tcPr>
            <w:tcW w:w="2100" w:type="pct"/>
            <w:vAlign w:val="bottom"/>
            <w:hideMark/>
          </w:tcPr>
          <w:p w14:paraId="28739A0A" w14:textId="77777777" w:rsidR="00066A06" w:rsidRDefault="00E5361E">
            <w:pPr>
              <w:rPr>
                <w:rFonts w:eastAsia="Times New Roman"/>
                <w:sz w:val="20"/>
                <w:szCs w:val="20"/>
              </w:rPr>
            </w:pPr>
            <w:r>
              <w:rPr>
                <w:rFonts w:eastAsia="Times New Roman"/>
                <w:sz w:val="20"/>
                <w:szCs w:val="20"/>
              </w:rPr>
              <w:t>Erez Nachtomy</w:t>
            </w:r>
          </w:p>
        </w:tc>
      </w:tr>
      <w:tr w:rsidR="00066A06" w14:paraId="787B0FA1" w14:textId="77777777">
        <w:tc>
          <w:tcPr>
            <w:tcW w:w="0" w:type="auto"/>
            <w:vAlign w:val="bottom"/>
            <w:hideMark/>
          </w:tcPr>
          <w:p w14:paraId="0E5AFCAA" w14:textId="77777777" w:rsidR="00066A06" w:rsidRDefault="00E5361E">
            <w:pPr>
              <w:rPr>
                <w:rFonts w:eastAsia="Times New Roman"/>
                <w:sz w:val="20"/>
                <w:szCs w:val="20"/>
              </w:rPr>
            </w:pPr>
            <w:r>
              <w:rPr>
                <w:rFonts w:eastAsia="Times New Roman"/>
                <w:sz w:val="20"/>
                <w:szCs w:val="20"/>
              </w:rPr>
              <w:t> </w:t>
            </w:r>
          </w:p>
        </w:tc>
        <w:tc>
          <w:tcPr>
            <w:tcW w:w="0" w:type="auto"/>
            <w:vAlign w:val="bottom"/>
            <w:hideMark/>
          </w:tcPr>
          <w:p w14:paraId="539BB57C" w14:textId="77777777" w:rsidR="00066A06" w:rsidRDefault="00E5361E">
            <w:pPr>
              <w:rPr>
                <w:rFonts w:eastAsia="Times New Roman"/>
                <w:sz w:val="20"/>
                <w:szCs w:val="20"/>
              </w:rPr>
            </w:pPr>
            <w:r>
              <w:rPr>
                <w:rFonts w:eastAsia="Times New Roman"/>
                <w:sz w:val="20"/>
                <w:szCs w:val="20"/>
              </w:rPr>
              <w:t> </w:t>
            </w:r>
          </w:p>
        </w:tc>
        <w:tc>
          <w:tcPr>
            <w:tcW w:w="0" w:type="auto"/>
            <w:vAlign w:val="bottom"/>
            <w:hideMark/>
          </w:tcPr>
          <w:p w14:paraId="178E4AF0" w14:textId="77777777" w:rsidR="00066A06" w:rsidRDefault="00E5361E">
            <w:pPr>
              <w:rPr>
                <w:rFonts w:eastAsia="Times New Roman"/>
                <w:sz w:val="20"/>
                <w:szCs w:val="20"/>
              </w:rPr>
            </w:pPr>
            <w:r>
              <w:rPr>
                <w:rFonts w:eastAsia="Times New Roman"/>
                <w:sz w:val="20"/>
                <w:szCs w:val="20"/>
              </w:rPr>
              <w:t>Title:</w:t>
            </w:r>
          </w:p>
        </w:tc>
        <w:tc>
          <w:tcPr>
            <w:tcW w:w="0" w:type="auto"/>
            <w:vAlign w:val="bottom"/>
            <w:hideMark/>
          </w:tcPr>
          <w:p w14:paraId="48DD9A73" w14:textId="77777777" w:rsidR="00066A06" w:rsidRDefault="00E5361E">
            <w:pPr>
              <w:rPr>
                <w:rFonts w:eastAsia="Times New Roman"/>
                <w:sz w:val="20"/>
                <w:szCs w:val="20"/>
              </w:rPr>
            </w:pPr>
            <w:r>
              <w:rPr>
                <w:rFonts w:eastAsia="Times New Roman"/>
                <w:sz w:val="20"/>
                <w:szCs w:val="20"/>
              </w:rPr>
              <w:t>Chief Executive Officer</w:t>
            </w:r>
          </w:p>
        </w:tc>
      </w:tr>
    </w:tbl>
    <w:p w14:paraId="24139C3C" w14:textId="77777777" w:rsidR="00066A06" w:rsidRDefault="00E5361E">
      <w:pPr>
        <w:pStyle w:val="NormalWeb"/>
        <w:spacing w:before="0" w:beforeAutospacing="0" w:after="0" w:afterAutospacing="0"/>
        <w:rPr>
          <w:sz w:val="20"/>
          <w:szCs w:val="20"/>
        </w:rPr>
      </w:pPr>
      <w:r>
        <w:rPr>
          <w:sz w:val="20"/>
          <w:szCs w:val="20"/>
        </w:rPr>
        <w:t> </w:t>
      </w:r>
    </w:p>
    <w:p w14:paraId="1F5D704F" w14:textId="77777777" w:rsidR="00066A06" w:rsidRDefault="00E5361E">
      <w:pPr>
        <w:pStyle w:val="NormalWeb"/>
        <w:spacing w:before="0" w:beforeAutospacing="0" w:after="0" w:afterAutospacing="0"/>
        <w:rPr>
          <w:sz w:val="20"/>
          <w:szCs w:val="20"/>
        </w:rPr>
      </w:pPr>
      <w:r>
        <w:rPr>
          <w:sz w:val="20"/>
          <w:szCs w:val="20"/>
        </w:rPr>
        <w:t>Date: April 4, 2023</w:t>
      </w:r>
    </w:p>
    <w:p w14:paraId="5EAA3740" w14:textId="77777777" w:rsidR="00066A06" w:rsidRDefault="00E5361E">
      <w:pPr>
        <w:pStyle w:val="NormalWeb"/>
        <w:spacing w:before="0" w:beforeAutospacing="0" w:after="0" w:afterAutospacing="0"/>
        <w:jc w:val="center"/>
        <w:rPr>
          <w:sz w:val="20"/>
          <w:szCs w:val="20"/>
        </w:rPr>
      </w:pPr>
      <w:r>
        <w:rPr>
          <w:sz w:val="20"/>
          <w:szCs w:val="20"/>
        </w:rPr>
        <w:t> </w:t>
      </w:r>
    </w:p>
    <w:p w14:paraId="43168710" w14:textId="77777777" w:rsidR="00066A06" w:rsidRDefault="00E5361E">
      <w:pPr>
        <w:pStyle w:val="NormalWeb"/>
        <w:spacing w:before="0" w:beforeAutospacing="0" w:after="0" w:afterAutospacing="0"/>
        <w:rPr>
          <w:sz w:val="20"/>
          <w:szCs w:val="20"/>
        </w:rPr>
      </w:pPr>
      <w:r>
        <w:rPr>
          <w:sz w:val="20"/>
          <w:szCs w:val="20"/>
        </w:rPr>
        <w:t> </w:t>
      </w:r>
    </w:p>
    <w:p w14:paraId="52485178" w14:textId="77777777" w:rsidR="00066A06" w:rsidRDefault="00E5361E">
      <w:pPr>
        <w:pStyle w:val="NormalWeb"/>
        <w:pageBreakBefore/>
        <w:spacing w:before="0" w:beforeAutospacing="0" w:after="0" w:afterAutospacing="0"/>
        <w:divId w:val="502935249"/>
        <w:rPr>
          <w:sz w:val="20"/>
          <w:szCs w:val="20"/>
        </w:rPr>
      </w:pPr>
      <w:r>
        <w:rPr>
          <w:sz w:val="20"/>
          <w:szCs w:val="20"/>
        </w:rPr>
        <w:lastRenderedPageBreak/>
        <w:t> </w:t>
      </w:r>
    </w:p>
    <w:p w14:paraId="3B6A4E92" w14:textId="77777777" w:rsidR="00066A06" w:rsidRDefault="00E5361E">
      <w:pPr>
        <w:pStyle w:val="NormalWeb"/>
        <w:spacing w:before="0" w:beforeAutospacing="0" w:after="0" w:afterAutospacing="0"/>
        <w:jc w:val="right"/>
        <w:rPr>
          <w:sz w:val="20"/>
          <w:szCs w:val="20"/>
        </w:rPr>
      </w:pPr>
      <w:r>
        <w:rPr>
          <w:b/>
          <w:bCs/>
          <w:sz w:val="20"/>
          <w:szCs w:val="20"/>
        </w:rPr>
        <w:t>Exhibit 99.1</w:t>
      </w:r>
    </w:p>
    <w:p w14:paraId="7855190B" w14:textId="77777777" w:rsidR="00066A06" w:rsidRDefault="00E5361E">
      <w:pPr>
        <w:pStyle w:val="NormalWeb"/>
        <w:spacing w:before="0" w:beforeAutospacing="0" w:after="0" w:afterAutospacing="0"/>
        <w:jc w:val="right"/>
        <w:rPr>
          <w:sz w:val="20"/>
          <w:szCs w:val="20"/>
        </w:rPr>
      </w:pPr>
      <w:r>
        <w:rPr>
          <w:b/>
          <w:bCs/>
          <w:sz w:val="20"/>
          <w:szCs w:val="20"/>
        </w:rPr>
        <w:t> </w:t>
      </w:r>
    </w:p>
    <w:p w14:paraId="73AEAB50" w14:textId="2FDCD624" w:rsidR="00066A06" w:rsidRDefault="00E5361E">
      <w:pPr>
        <w:pStyle w:val="NormalWeb"/>
        <w:spacing w:before="0" w:beforeAutospacing="0" w:after="0" w:afterAutospacing="0"/>
        <w:rPr>
          <w:sz w:val="20"/>
          <w:szCs w:val="20"/>
        </w:rPr>
      </w:pPr>
      <w:r>
        <w:rPr>
          <w:noProof/>
          <w:sz w:val="20"/>
          <w:szCs w:val="20"/>
        </w:rPr>
        <w:drawing>
          <wp:inline distT="0" distB="0" distL="0" distR="0" wp14:anchorId="460FF7F9" wp14:editId="6DA8DD93">
            <wp:extent cx="19050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p>
    <w:p w14:paraId="0EEF00B2" w14:textId="77777777" w:rsidR="00066A06" w:rsidRDefault="00E5361E">
      <w:pPr>
        <w:pStyle w:val="NormalWeb"/>
        <w:spacing w:before="0" w:beforeAutospacing="0" w:after="0" w:afterAutospacing="0"/>
        <w:rPr>
          <w:sz w:val="20"/>
          <w:szCs w:val="20"/>
        </w:rPr>
      </w:pPr>
      <w:r>
        <w:rPr>
          <w:b/>
          <w:bCs/>
          <w:sz w:val="20"/>
          <w:szCs w:val="20"/>
        </w:rPr>
        <w:t> </w:t>
      </w:r>
    </w:p>
    <w:p w14:paraId="01FA5E0C" w14:textId="77777777" w:rsidR="00066A06" w:rsidRDefault="00E5361E">
      <w:pPr>
        <w:pStyle w:val="NormalWeb"/>
        <w:spacing w:before="0" w:beforeAutospacing="0" w:after="0" w:afterAutospacing="0"/>
        <w:rPr>
          <w:sz w:val="20"/>
          <w:szCs w:val="20"/>
        </w:rPr>
      </w:pPr>
      <w:r>
        <w:rPr>
          <w:sz w:val="20"/>
          <w:szCs w:val="20"/>
        </w:rPr>
        <w:t xml:space="preserve">Press </w:t>
      </w:r>
      <w:proofErr w:type="gramStart"/>
      <w:r>
        <w:rPr>
          <w:sz w:val="20"/>
          <w:szCs w:val="20"/>
        </w:rPr>
        <w:t>release</w:t>
      </w:r>
      <w:proofErr w:type="gramEnd"/>
    </w:p>
    <w:p w14:paraId="7CF69A5E" w14:textId="77777777" w:rsidR="00066A06" w:rsidRDefault="00E5361E">
      <w:pPr>
        <w:pStyle w:val="NormalWeb"/>
        <w:spacing w:before="0" w:beforeAutospacing="0" w:after="0" w:afterAutospacing="0"/>
        <w:rPr>
          <w:sz w:val="20"/>
          <w:szCs w:val="20"/>
        </w:rPr>
      </w:pPr>
      <w:r>
        <w:rPr>
          <w:sz w:val="20"/>
          <w:szCs w:val="20"/>
        </w:rPr>
        <w:t> </w:t>
      </w:r>
    </w:p>
    <w:p w14:paraId="1B8D0835" w14:textId="77777777" w:rsidR="00066A06" w:rsidRDefault="00E5361E">
      <w:pPr>
        <w:pStyle w:val="NormalWeb"/>
        <w:spacing w:before="0" w:beforeAutospacing="0" w:after="0" w:afterAutospacing="0"/>
        <w:rPr>
          <w:color w:val="262626"/>
          <w:sz w:val="20"/>
          <w:szCs w:val="20"/>
        </w:rPr>
      </w:pPr>
      <w:r>
        <w:rPr>
          <w:b/>
          <w:bCs/>
          <w:color w:val="262626"/>
          <w:sz w:val="20"/>
          <w:szCs w:val="20"/>
        </w:rPr>
        <w:t xml:space="preserve">SHL Telemedicine strengthens leadership of its German </w:t>
      </w:r>
      <w:proofErr w:type="gramStart"/>
      <w:r>
        <w:rPr>
          <w:b/>
          <w:bCs/>
          <w:color w:val="262626"/>
          <w:sz w:val="20"/>
          <w:szCs w:val="20"/>
        </w:rPr>
        <w:t>operation</w:t>
      </w:r>
      <w:proofErr w:type="gramEnd"/>
    </w:p>
    <w:p w14:paraId="0C808DA2" w14:textId="77777777" w:rsidR="00066A06" w:rsidRDefault="00E5361E">
      <w:pPr>
        <w:pStyle w:val="NormalWeb"/>
        <w:spacing w:before="0" w:beforeAutospacing="0" w:after="0" w:afterAutospacing="0"/>
        <w:rPr>
          <w:sz w:val="20"/>
          <w:szCs w:val="20"/>
        </w:rPr>
      </w:pPr>
      <w:r>
        <w:rPr>
          <w:sz w:val="20"/>
          <w:szCs w:val="20"/>
        </w:rPr>
        <w:t> </w:t>
      </w:r>
    </w:p>
    <w:p w14:paraId="3AC6320E" w14:textId="77777777" w:rsidR="00066A06" w:rsidRDefault="00E5361E">
      <w:pPr>
        <w:pStyle w:val="NormalWeb"/>
        <w:spacing w:before="0" w:beforeAutospacing="0" w:after="0" w:afterAutospacing="0"/>
        <w:rPr>
          <w:color w:val="262626"/>
          <w:sz w:val="20"/>
          <w:szCs w:val="20"/>
        </w:rPr>
      </w:pPr>
      <w:r>
        <w:rPr>
          <w:i/>
          <w:iCs/>
          <w:color w:val="262626"/>
          <w:sz w:val="20"/>
          <w:szCs w:val="20"/>
        </w:rPr>
        <w:t xml:space="preserve">Mr. Bernd </w:t>
      </w:r>
      <w:proofErr w:type="spellStart"/>
      <w:r>
        <w:rPr>
          <w:i/>
          <w:iCs/>
          <w:color w:val="262626"/>
          <w:sz w:val="20"/>
          <w:szCs w:val="20"/>
        </w:rPr>
        <w:t>Altpeter</w:t>
      </w:r>
      <w:proofErr w:type="spellEnd"/>
      <w:r>
        <w:rPr>
          <w:i/>
          <w:iCs/>
          <w:color w:val="262626"/>
          <w:sz w:val="20"/>
          <w:szCs w:val="20"/>
        </w:rPr>
        <w:t xml:space="preserve">, a highly experienced </w:t>
      </w:r>
      <w:r>
        <w:rPr>
          <w:i/>
          <w:iCs/>
          <w:color w:val="262626"/>
          <w:sz w:val="20"/>
          <w:szCs w:val="20"/>
        </w:rPr>
        <w:t>healthcare executive, joins as Co-Managing Director of SHL German Operation</w:t>
      </w:r>
    </w:p>
    <w:p w14:paraId="607B1162" w14:textId="77777777" w:rsidR="00066A06" w:rsidRDefault="00E5361E">
      <w:pPr>
        <w:pStyle w:val="NormalWeb"/>
        <w:spacing w:before="0" w:beforeAutospacing="0" w:after="0" w:afterAutospacing="0"/>
        <w:rPr>
          <w:sz w:val="20"/>
          <w:szCs w:val="20"/>
        </w:rPr>
      </w:pPr>
      <w:r>
        <w:rPr>
          <w:sz w:val="20"/>
          <w:szCs w:val="20"/>
        </w:rPr>
        <w:t> </w:t>
      </w:r>
    </w:p>
    <w:p w14:paraId="6C56D5AF" w14:textId="77777777" w:rsidR="00066A06" w:rsidRDefault="00E5361E">
      <w:pPr>
        <w:pStyle w:val="NormalWeb"/>
        <w:spacing w:before="0" w:beforeAutospacing="0" w:after="0" w:afterAutospacing="0"/>
        <w:jc w:val="both"/>
        <w:rPr>
          <w:sz w:val="20"/>
          <w:szCs w:val="20"/>
        </w:rPr>
      </w:pPr>
      <w:r>
        <w:rPr>
          <w:b/>
          <w:bCs/>
          <w:sz w:val="20"/>
          <w:szCs w:val="20"/>
        </w:rPr>
        <w:t xml:space="preserve">Tel Aviv / Zurich / New York, 4 </w:t>
      </w:r>
      <w:proofErr w:type="gramStart"/>
      <w:r>
        <w:rPr>
          <w:b/>
          <w:bCs/>
          <w:sz w:val="20"/>
          <w:szCs w:val="20"/>
        </w:rPr>
        <w:t>April,</w:t>
      </w:r>
      <w:proofErr w:type="gramEnd"/>
      <w:r>
        <w:rPr>
          <w:b/>
          <w:bCs/>
          <w:sz w:val="20"/>
          <w:szCs w:val="20"/>
        </w:rPr>
        <w:t xml:space="preserve"> 2023 – </w:t>
      </w:r>
      <w:r>
        <w:rPr>
          <w:sz w:val="20"/>
          <w:szCs w:val="20"/>
        </w:rPr>
        <w:t>SHL Telemedicine Ltd. (SIX Swiss Exchange: SHLTN; NASDAQ: SHLT) (“</w:t>
      </w:r>
      <w:r>
        <w:rPr>
          <w:b/>
          <w:bCs/>
          <w:sz w:val="20"/>
          <w:szCs w:val="20"/>
        </w:rPr>
        <w:t>SHL</w:t>
      </w:r>
      <w:r>
        <w:rPr>
          <w:sz w:val="20"/>
          <w:szCs w:val="20"/>
        </w:rPr>
        <w:t>” or the “</w:t>
      </w:r>
      <w:r>
        <w:rPr>
          <w:b/>
          <w:bCs/>
          <w:sz w:val="20"/>
          <w:szCs w:val="20"/>
        </w:rPr>
        <w:t>Company</w:t>
      </w:r>
      <w:r>
        <w:rPr>
          <w:sz w:val="20"/>
          <w:szCs w:val="20"/>
        </w:rPr>
        <w:t>”), a leading provider and developer of advanc</w:t>
      </w:r>
      <w:r>
        <w:rPr>
          <w:sz w:val="20"/>
          <w:szCs w:val="20"/>
        </w:rPr>
        <w:t xml:space="preserve">ed personal telemedicine solutions, </w:t>
      </w:r>
      <w:r>
        <w:rPr>
          <w:color w:val="262626"/>
          <w:sz w:val="20"/>
          <w:szCs w:val="20"/>
        </w:rPr>
        <w:t xml:space="preserve">announced today that Mr. Bernd </w:t>
      </w:r>
      <w:proofErr w:type="spellStart"/>
      <w:r>
        <w:rPr>
          <w:color w:val="262626"/>
          <w:sz w:val="20"/>
          <w:szCs w:val="20"/>
        </w:rPr>
        <w:t>Altpeter</w:t>
      </w:r>
      <w:proofErr w:type="spellEnd"/>
      <w:r>
        <w:rPr>
          <w:color w:val="262626"/>
          <w:sz w:val="20"/>
          <w:szCs w:val="20"/>
        </w:rPr>
        <w:t xml:space="preserve"> was nominated as Co-Managing Director of SHL German Operation, together with Mr. Linus Drop.</w:t>
      </w:r>
    </w:p>
    <w:p w14:paraId="5A5088CB" w14:textId="77777777" w:rsidR="00066A06" w:rsidRDefault="00E5361E">
      <w:pPr>
        <w:pStyle w:val="NormalWeb"/>
        <w:spacing w:before="0" w:beforeAutospacing="0" w:after="0" w:afterAutospacing="0"/>
        <w:rPr>
          <w:sz w:val="20"/>
          <w:szCs w:val="20"/>
        </w:rPr>
      </w:pPr>
      <w:r>
        <w:rPr>
          <w:sz w:val="20"/>
          <w:szCs w:val="20"/>
        </w:rPr>
        <w:t> </w:t>
      </w:r>
    </w:p>
    <w:p w14:paraId="5E9CB514" w14:textId="77777777" w:rsidR="00066A06" w:rsidRDefault="00E5361E">
      <w:pPr>
        <w:pStyle w:val="NormalWeb"/>
        <w:spacing w:before="0" w:beforeAutospacing="0" w:after="0" w:afterAutospacing="0"/>
        <w:jc w:val="both"/>
        <w:rPr>
          <w:color w:val="262626"/>
          <w:sz w:val="20"/>
          <w:szCs w:val="20"/>
        </w:rPr>
      </w:pPr>
      <w:r>
        <w:rPr>
          <w:color w:val="262626"/>
          <w:sz w:val="20"/>
          <w:szCs w:val="20"/>
        </w:rPr>
        <w:t>Mr. </w:t>
      </w:r>
      <w:proofErr w:type="spellStart"/>
      <w:r>
        <w:rPr>
          <w:color w:val="262626"/>
          <w:sz w:val="20"/>
          <w:szCs w:val="20"/>
        </w:rPr>
        <w:t>Altpeter</w:t>
      </w:r>
      <w:proofErr w:type="spellEnd"/>
      <w:r>
        <w:rPr>
          <w:color w:val="262626"/>
          <w:sz w:val="20"/>
          <w:szCs w:val="20"/>
        </w:rPr>
        <w:t xml:space="preserve"> has significant experience in the German healthcare and </w:t>
      </w:r>
      <w:r>
        <w:rPr>
          <w:color w:val="262626"/>
          <w:sz w:val="20"/>
          <w:szCs w:val="20"/>
        </w:rPr>
        <w:t xml:space="preserve">telemedicine market. Prior to his last position as Global Head of Digital Products and Projects with Boehringer Ingelheim </w:t>
      </w:r>
      <w:proofErr w:type="spellStart"/>
      <w:r>
        <w:rPr>
          <w:color w:val="262626"/>
          <w:sz w:val="20"/>
          <w:szCs w:val="20"/>
        </w:rPr>
        <w:t>Vetmedica</w:t>
      </w:r>
      <w:proofErr w:type="spellEnd"/>
      <w:r>
        <w:rPr>
          <w:color w:val="262626"/>
          <w:sz w:val="20"/>
          <w:szCs w:val="20"/>
        </w:rPr>
        <w:t xml:space="preserve"> GmbH, Mr. </w:t>
      </w:r>
      <w:proofErr w:type="spellStart"/>
      <w:r>
        <w:rPr>
          <w:color w:val="262626"/>
          <w:sz w:val="20"/>
          <w:szCs w:val="20"/>
        </w:rPr>
        <w:t>Alpeter</w:t>
      </w:r>
      <w:proofErr w:type="spellEnd"/>
      <w:r>
        <w:rPr>
          <w:color w:val="262626"/>
          <w:sz w:val="20"/>
          <w:szCs w:val="20"/>
        </w:rPr>
        <w:t xml:space="preserve"> founded in 2013 the Digital Health Group and served as its CEO. The Digital Health Group consisted of seve</w:t>
      </w:r>
      <w:r>
        <w:rPr>
          <w:color w:val="262626"/>
          <w:sz w:val="20"/>
          <w:szCs w:val="20"/>
        </w:rPr>
        <w:t xml:space="preserve">ral companies focusing on digital chronic care management programs and health contract management, providing solutions and services to health insurance companies, </w:t>
      </w:r>
      <w:proofErr w:type="gramStart"/>
      <w:r>
        <w:rPr>
          <w:color w:val="262626"/>
          <w:sz w:val="20"/>
          <w:szCs w:val="20"/>
        </w:rPr>
        <w:t>physicians</w:t>
      </w:r>
      <w:proofErr w:type="gramEnd"/>
      <w:r>
        <w:rPr>
          <w:color w:val="262626"/>
          <w:sz w:val="20"/>
          <w:szCs w:val="20"/>
        </w:rPr>
        <w:t xml:space="preserve"> and pharma companies. The group was acquired in 2020 by Fresenius SE. Prior to tha</w:t>
      </w:r>
      <w:r>
        <w:rPr>
          <w:color w:val="262626"/>
          <w:sz w:val="20"/>
          <w:szCs w:val="20"/>
        </w:rPr>
        <w:t>t Mr. </w:t>
      </w:r>
      <w:proofErr w:type="spellStart"/>
      <w:r>
        <w:rPr>
          <w:color w:val="262626"/>
          <w:sz w:val="20"/>
          <w:szCs w:val="20"/>
        </w:rPr>
        <w:t>Altpeter</w:t>
      </w:r>
      <w:proofErr w:type="spellEnd"/>
      <w:r>
        <w:rPr>
          <w:color w:val="262626"/>
          <w:sz w:val="20"/>
          <w:szCs w:val="20"/>
        </w:rPr>
        <w:t xml:space="preserve"> held executive level positions in international organizations in the field of sales and marketing consulting.</w:t>
      </w:r>
    </w:p>
    <w:p w14:paraId="3CDB983B" w14:textId="77777777" w:rsidR="00066A06" w:rsidRDefault="00E5361E">
      <w:pPr>
        <w:pStyle w:val="NormalWeb"/>
        <w:spacing w:before="0" w:beforeAutospacing="0" w:after="0" w:afterAutospacing="0"/>
        <w:rPr>
          <w:sz w:val="20"/>
          <w:szCs w:val="20"/>
        </w:rPr>
      </w:pPr>
      <w:r>
        <w:rPr>
          <w:sz w:val="20"/>
          <w:szCs w:val="20"/>
        </w:rPr>
        <w:t> </w:t>
      </w:r>
    </w:p>
    <w:p w14:paraId="4F6BF2B7" w14:textId="77777777" w:rsidR="00066A06" w:rsidRDefault="00E5361E">
      <w:pPr>
        <w:pStyle w:val="NormalWeb"/>
        <w:spacing w:before="0" w:beforeAutospacing="0" w:after="0" w:afterAutospacing="0"/>
        <w:jc w:val="both"/>
        <w:rPr>
          <w:color w:val="262626"/>
          <w:sz w:val="20"/>
          <w:szCs w:val="20"/>
        </w:rPr>
      </w:pPr>
      <w:r>
        <w:rPr>
          <w:color w:val="262626"/>
          <w:sz w:val="20"/>
          <w:szCs w:val="20"/>
        </w:rPr>
        <w:t>Mr. </w:t>
      </w:r>
      <w:proofErr w:type="spellStart"/>
      <w:r>
        <w:rPr>
          <w:color w:val="262626"/>
          <w:sz w:val="20"/>
          <w:szCs w:val="20"/>
        </w:rPr>
        <w:t>Altpeter</w:t>
      </w:r>
      <w:proofErr w:type="spellEnd"/>
      <w:r>
        <w:rPr>
          <w:color w:val="262626"/>
          <w:sz w:val="20"/>
          <w:szCs w:val="20"/>
        </w:rPr>
        <w:t xml:space="preserve"> is a Business Administration graduate from the </w:t>
      </w:r>
      <w:proofErr w:type="spellStart"/>
      <w:r>
        <w:rPr>
          <w:color w:val="262626"/>
          <w:sz w:val="20"/>
          <w:szCs w:val="20"/>
        </w:rPr>
        <w:t>Technische</w:t>
      </w:r>
      <w:proofErr w:type="spellEnd"/>
      <w:r>
        <w:rPr>
          <w:color w:val="262626"/>
          <w:sz w:val="20"/>
          <w:szCs w:val="20"/>
        </w:rPr>
        <w:t xml:space="preserve"> Universität Berlin, and management training from INSEAD an</w:t>
      </w:r>
      <w:r>
        <w:rPr>
          <w:color w:val="262626"/>
          <w:sz w:val="20"/>
          <w:szCs w:val="20"/>
        </w:rPr>
        <w:t>d Duke University.</w:t>
      </w:r>
    </w:p>
    <w:p w14:paraId="7B4B23CE" w14:textId="77777777" w:rsidR="00066A06" w:rsidRDefault="00E5361E">
      <w:pPr>
        <w:pStyle w:val="NormalWeb"/>
        <w:spacing w:before="0" w:beforeAutospacing="0" w:after="0" w:afterAutospacing="0"/>
        <w:rPr>
          <w:sz w:val="20"/>
          <w:szCs w:val="20"/>
        </w:rPr>
      </w:pPr>
      <w:r>
        <w:rPr>
          <w:sz w:val="20"/>
          <w:szCs w:val="20"/>
        </w:rPr>
        <w:t> </w:t>
      </w:r>
    </w:p>
    <w:p w14:paraId="0CA98110" w14:textId="77777777" w:rsidR="00066A06" w:rsidRDefault="00E5361E">
      <w:pPr>
        <w:pStyle w:val="NormalWeb"/>
        <w:spacing w:before="0" w:beforeAutospacing="0" w:after="0" w:afterAutospacing="0"/>
        <w:jc w:val="both"/>
        <w:rPr>
          <w:color w:val="262626"/>
          <w:sz w:val="20"/>
          <w:szCs w:val="20"/>
        </w:rPr>
      </w:pPr>
      <w:r>
        <w:rPr>
          <w:color w:val="262626"/>
          <w:sz w:val="20"/>
          <w:szCs w:val="20"/>
        </w:rPr>
        <w:t>“We welcome Bernd to the SHL leadership team” said Erez Nachtomy, CEO of SHL Telemedicine. “Bernd bring with him impressive knowledge and experience in executive and leadership positions in the German and International medical and tele</w:t>
      </w:r>
      <w:r>
        <w:rPr>
          <w:color w:val="262626"/>
          <w:sz w:val="20"/>
          <w:szCs w:val="20"/>
        </w:rPr>
        <w:t>medicine field. We are confident that Bernd will significantly contribute to the growth of our business in Germany.”</w:t>
      </w:r>
    </w:p>
    <w:p w14:paraId="5DC8F397" w14:textId="77777777" w:rsidR="00066A06" w:rsidRDefault="00E5361E">
      <w:pPr>
        <w:pStyle w:val="NormalWeb"/>
        <w:spacing w:before="0" w:beforeAutospacing="0" w:after="0" w:afterAutospacing="0"/>
        <w:rPr>
          <w:sz w:val="20"/>
          <w:szCs w:val="20"/>
        </w:rPr>
      </w:pPr>
      <w:r>
        <w:rPr>
          <w:sz w:val="20"/>
          <w:szCs w:val="20"/>
        </w:rPr>
        <w:t> </w:t>
      </w:r>
    </w:p>
    <w:p w14:paraId="0135CB37" w14:textId="77777777" w:rsidR="00066A06" w:rsidRDefault="00E5361E">
      <w:pPr>
        <w:pStyle w:val="NormalWeb"/>
        <w:spacing w:before="0" w:beforeAutospacing="0" w:after="0" w:afterAutospacing="0"/>
        <w:rPr>
          <w:sz w:val="20"/>
          <w:szCs w:val="20"/>
        </w:rPr>
      </w:pPr>
      <w:r>
        <w:rPr>
          <w:b/>
          <w:bCs/>
          <w:sz w:val="20"/>
          <w:szCs w:val="20"/>
        </w:rPr>
        <w:t>For further information please contact:</w:t>
      </w:r>
    </w:p>
    <w:p w14:paraId="07C1AAEA" w14:textId="77777777" w:rsidR="00066A06" w:rsidRDefault="00E5361E">
      <w:pPr>
        <w:pStyle w:val="NormalWeb"/>
        <w:spacing w:before="0" w:beforeAutospacing="0" w:after="0" w:afterAutospacing="0"/>
        <w:rPr>
          <w:sz w:val="20"/>
          <w:szCs w:val="20"/>
        </w:rPr>
      </w:pPr>
      <w:r>
        <w:rPr>
          <w:sz w:val="20"/>
          <w:szCs w:val="20"/>
        </w:rPr>
        <w:t> </w:t>
      </w:r>
    </w:p>
    <w:p w14:paraId="2BC693C0" w14:textId="77777777" w:rsidR="00066A06" w:rsidRDefault="00E5361E">
      <w:pPr>
        <w:pStyle w:val="NormalWeb"/>
        <w:spacing w:before="0" w:beforeAutospacing="0" w:after="0" w:afterAutospacing="0"/>
        <w:rPr>
          <w:sz w:val="20"/>
          <w:szCs w:val="20"/>
        </w:rPr>
      </w:pPr>
      <w:r>
        <w:rPr>
          <w:sz w:val="20"/>
          <w:szCs w:val="20"/>
        </w:rPr>
        <w:t xml:space="preserve">Fabienne </w:t>
      </w:r>
      <w:proofErr w:type="spellStart"/>
      <w:r>
        <w:rPr>
          <w:sz w:val="20"/>
          <w:szCs w:val="20"/>
        </w:rPr>
        <w:t>Farner</w:t>
      </w:r>
      <w:proofErr w:type="spellEnd"/>
      <w:r>
        <w:rPr>
          <w:sz w:val="20"/>
          <w:szCs w:val="20"/>
        </w:rPr>
        <w:t xml:space="preserve">, IRF, </w:t>
      </w:r>
      <w:proofErr w:type="gramStart"/>
      <w:r>
        <w:rPr>
          <w:sz w:val="20"/>
          <w:szCs w:val="20"/>
        </w:rPr>
        <w:t>Phone :</w:t>
      </w:r>
      <w:proofErr w:type="gramEnd"/>
      <w:r>
        <w:rPr>
          <w:sz w:val="20"/>
          <w:szCs w:val="20"/>
        </w:rPr>
        <w:t xml:space="preserve"> +41 43 244 81 42, </w:t>
      </w:r>
      <w:r>
        <w:rPr>
          <w:sz w:val="20"/>
          <w:szCs w:val="20"/>
          <w:u w:val="single"/>
        </w:rPr>
        <w:t>farner@irf-reputation.ch</w:t>
      </w:r>
    </w:p>
    <w:p w14:paraId="7C1EE954" w14:textId="77777777" w:rsidR="00066A06" w:rsidRDefault="00E5361E">
      <w:pPr>
        <w:pStyle w:val="NormalWeb"/>
        <w:spacing w:before="0" w:beforeAutospacing="0" w:after="0" w:afterAutospacing="0"/>
        <w:rPr>
          <w:sz w:val="20"/>
          <w:szCs w:val="20"/>
        </w:rPr>
      </w:pPr>
      <w:r>
        <w:rPr>
          <w:sz w:val="20"/>
          <w:szCs w:val="20"/>
        </w:rPr>
        <w:t> </w:t>
      </w:r>
    </w:p>
    <w:p w14:paraId="48EA2307" w14:textId="77777777" w:rsidR="00066A06" w:rsidRDefault="00E5361E">
      <w:pPr>
        <w:pStyle w:val="NormalWeb"/>
        <w:spacing w:before="0" w:beforeAutospacing="0" w:after="0" w:afterAutospacing="0"/>
        <w:rPr>
          <w:sz w:val="20"/>
          <w:szCs w:val="20"/>
        </w:rPr>
      </w:pPr>
      <w:r>
        <w:rPr>
          <w:b/>
          <w:bCs/>
          <w:sz w:val="20"/>
          <w:szCs w:val="20"/>
        </w:rPr>
        <w:t>About SHL Telemedici</w:t>
      </w:r>
      <w:r>
        <w:rPr>
          <w:b/>
          <w:bCs/>
          <w:sz w:val="20"/>
          <w:szCs w:val="20"/>
        </w:rPr>
        <w:t>ne</w:t>
      </w:r>
    </w:p>
    <w:p w14:paraId="594EAE2A" w14:textId="77777777" w:rsidR="00066A06" w:rsidRDefault="00E5361E">
      <w:pPr>
        <w:pStyle w:val="NormalWeb"/>
        <w:spacing w:before="0" w:beforeAutospacing="0" w:after="0" w:afterAutospacing="0"/>
        <w:rPr>
          <w:sz w:val="20"/>
          <w:szCs w:val="20"/>
        </w:rPr>
      </w:pPr>
      <w:r>
        <w:rPr>
          <w:sz w:val="20"/>
          <w:szCs w:val="20"/>
        </w:rPr>
        <w:t> </w:t>
      </w:r>
    </w:p>
    <w:p w14:paraId="3A7C6D4E" w14:textId="77777777" w:rsidR="00066A06" w:rsidRDefault="00E5361E">
      <w:pPr>
        <w:pStyle w:val="NormalWeb"/>
        <w:spacing w:before="0" w:beforeAutospacing="0" w:after="0" w:afterAutospacing="0"/>
        <w:jc w:val="both"/>
        <w:rPr>
          <w:sz w:val="20"/>
          <w:szCs w:val="20"/>
        </w:rPr>
      </w:pPr>
      <w:r>
        <w:rPr>
          <w:sz w:val="20"/>
          <w:szCs w:val="20"/>
        </w:rPr>
        <w:t>SHL Telemedicine is engaged in developing and marketing personal telemedicine systems and the provision of medical call center services, with a focus on cardiovascular and related diseases, to end users and to the healthcare community. SHL Telemedicin</w:t>
      </w:r>
      <w:r>
        <w:rPr>
          <w:sz w:val="20"/>
          <w:szCs w:val="20"/>
        </w:rPr>
        <w:t>e offers its services and personal telemedicine devices to subscribers utilizing telephonic and Internet communication technology. SHL is listed on the SIX Swiss Exchange (SHLTN, ISIN: IL0010855885, Security No.: 1128957) and on the Nasdaq Stock Exchange (</w:t>
      </w:r>
      <w:r>
        <w:rPr>
          <w:sz w:val="20"/>
          <w:szCs w:val="20"/>
        </w:rPr>
        <w:t xml:space="preserve">SHLT, ISIN: US78423T2006, CUSIP: 78423T200). For more information, please visit our website at </w:t>
      </w:r>
      <w:r>
        <w:rPr>
          <w:sz w:val="20"/>
          <w:szCs w:val="20"/>
          <w:u w:val="single"/>
        </w:rPr>
        <w:t>www.shl-telemedicine.com</w:t>
      </w:r>
      <w:r>
        <w:rPr>
          <w:sz w:val="20"/>
          <w:szCs w:val="20"/>
        </w:rPr>
        <w:t>.</w:t>
      </w:r>
    </w:p>
    <w:p w14:paraId="527A2054" w14:textId="77777777" w:rsidR="00066A06" w:rsidRDefault="00E5361E">
      <w:pPr>
        <w:pStyle w:val="NormalWeb"/>
        <w:spacing w:before="0" w:beforeAutospacing="0" w:after="0" w:afterAutospacing="0"/>
        <w:rPr>
          <w:sz w:val="20"/>
          <w:szCs w:val="20"/>
        </w:rPr>
      </w:pPr>
      <w:r>
        <w:rPr>
          <w:sz w:val="20"/>
          <w:szCs w:val="20"/>
        </w:rPr>
        <w:t> </w:t>
      </w:r>
    </w:p>
    <w:p w14:paraId="32370BEF" w14:textId="77777777" w:rsidR="00066A06" w:rsidRDefault="00E5361E">
      <w:pPr>
        <w:pStyle w:val="NormalWeb"/>
        <w:spacing w:before="0" w:beforeAutospacing="0" w:after="0" w:afterAutospacing="0"/>
        <w:jc w:val="both"/>
        <w:rPr>
          <w:sz w:val="20"/>
          <w:szCs w:val="20"/>
        </w:rPr>
      </w:pPr>
      <w:r>
        <w:rPr>
          <w:sz w:val="20"/>
          <w:szCs w:val="20"/>
        </w:rPr>
        <w:t>This press release contains “forward-looking statements” within the meaning of the U.S. Private Securities Litigation Reform Act of 1</w:t>
      </w:r>
      <w:r>
        <w:rPr>
          <w:sz w:val="20"/>
          <w:szCs w:val="20"/>
        </w:rPr>
        <w:t>995, specifically Section 27A of the U.S. Securities Act of 1933, as amended, and Section 21E of the U.S. Securities Exchange Act of 1934, as amended. All statements, other than statements of historical facts, are forward-looking statements. Readers are ca</w:t>
      </w:r>
      <w:r>
        <w:rPr>
          <w:sz w:val="20"/>
          <w:szCs w:val="20"/>
        </w:rPr>
        <w:t xml:space="preserve">utioned that any such forward-looking statements are not guarantees of future performance and involve risks and uncertainties, and that actual results may differ materially from those in the </w:t>
      </w:r>
      <w:r>
        <w:rPr>
          <w:sz w:val="20"/>
          <w:szCs w:val="20"/>
        </w:rPr>
        <w:lastRenderedPageBreak/>
        <w:t xml:space="preserve">forward-looking statements </w:t>
      </w:r>
      <w:proofErr w:type="gramStart"/>
      <w:r>
        <w:rPr>
          <w:sz w:val="20"/>
          <w:szCs w:val="20"/>
        </w:rPr>
        <w:t>as a result of</w:t>
      </w:r>
      <w:proofErr w:type="gramEnd"/>
      <w:r>
        <w:rPr>
          <w:sz w:val="20"/>
          <w:szCs w:val="20"/>
        </w:rPr>
        <w:t xml:space="preserve"> various factors. Factor</w:t>
      </w:r>
      <w:r>
        <w:rPr>
          <w:sz w:val="20"/>
          <w:szCs w:val="20"/>
        </w:rPr>
        <w:t>s that can cause actual results to differ from those contained in forward-looking statements include those described in Item 3.D “Key Information—Risk Factors” contained in SHL Telemedicine’s Registration Statement on Form 20-F filed with the U.S. Securiti</w:t>
      </w:r>
      <w:r>
        <w:rPr>
          <w:sz w:val="20"/>
          <w:szCs w:val="20"/>
        </w:rPr>
        <w:t xml:space="preserve">es Exchange Commission (the “Commission”) on March 28, </w:t>
      </w:r>
      <w:proofErr w:type="gramStart"/>
      <w:r>
        <w:rPr>
          <w:sz w:val="20"/>
          <w:szCs w:val="20"/>
        </w:rPr>
        <w:t>2023</w:t>
      </w:r>
      <w:proofErr w:type="gramEnd"/>
      <w:r>
        <w:rPr>
          <w:sz w:val="20"/>
          <w:szCs w:val="20"/>
        </w:rPr>
        <w:t xml:space="preserve"> and in its subsequent filings and submissions with the Commission. SHL Telemedicine undertakes no obligation to publicly update or revise any forward-looking statements. Except as required by law.</w:t>
      </w:r>
    </w:p>
    <w:p w14:paraId="04D1AC5D" w14:textId="77777777" w:rsidR="00066A06" w:rsidRDefault="00E5361E">
      <w:pPr>
        <w:pStyle w:val="NormalWeb"/>
        <w:spacing w:before="0" w:beforeAutospacing="0" w:after="0" w:afterAutospacing="0"/>
        <w:rPr>
          <w:sz w:val="20"/>
          <w:szCs w:val="20"/>
        </w:rPr>
      </w:pPr>
      <w:r>
        <w:rPr>
          <w:sz w:val="20"/>
          <w:szCs w:val="20"/>
        </w:rPr>
        <w:t> </w:t>
      </w:r>
    </w:p>
    <w:p w14:paraId="7ACE2BC5" w14:textId="3C2A371E" w:rsidR="00066A06" w:rsidRDefault="00066A06">
      <w:pPr>
        <w:pStyle w:val="NormalWeb"/>
        <w:spacing w:before="0" w:beforeAutospacing="0" w:after="0" w:afterAutospacing="0"/>
        <w:jc w:val="center"/>
        <w:rPr>
          <w:sz w:val="20"/>
          <w:szCs w:val="20"/>
        </w:rPr>
      </w:pPr>
    </w:p>
    <w:p w14:paraId="5272296A" w14:textId="77777777" w:rsidR="00066A06" w:rsidRDefault="00E5361E">
      <w:pPr>
        <w:pStyle w:val="NormalWeb"/>
        <w:spacing w:before="0" w:beforeAutospacing="0" w:after="0" w:afterAutospacing="0"/>
        <w:jc w:val="center"/>
        <w:rPr>
          <w:sz w:val="20"/>
          <w:szCs w:val="20"/>
        </w:rPr>
      </w:pPr>
      <w:r>
        <w:rPr>
          <w:b/>
          <w:bCs/>
          <w:sz w:val="20"/>
          <w:szCs w:val="20"/>
        </w:rPr>
        <w:t> </w:t>
      </w:r>
    </w:p>
    <w:p w14:paraId="00ABA34D" w14:textId="765DE97F" w:rsidR="00066A06" w:rsidRDefault="00E5361E" w:rsidP="00E5361E">
      <w:pPr>
        <w:pStyle w:val="NormalWeb"/>
        <w:spacing w:before="0" w:beforeAutospacing="0" w:after="0" w:afterAutospacing="0"/>
        <w:rPr>
          <w:sz w:val="20"/>
          <w:szCs w:val="20"/>
        </w:rPr>
      </w:pPr>
      <w:r>
        <w:rPr>
          <w:noProof/>
          <w:sz w:val="20"/>
          <w:szCs w:val="20"/>
        </w:rPr>
        <w:drawing>
          <wp:inline distT="0" distB="0" distL="0" distR="0" wp14:anchorId="0BD3B091" wp14:editId="53294EDE">
            <wp:extent cx="410527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05275" cy="504825"/>
                    </a:xfrm>
                    <a:prstGeom prst="rect">
                      <a:avLst/>
                    </a:prstGeom>
                    <a:noFill/>
                    <a:ln>
                      <a:noFill/>
                    </a:ln>
                  </pic:spPr>
                </pic:pic>
              </a:graphicData>
            </a:graphic>
          </wp:inline>
        </w:drawing>
      </w:r>
      <w:r>
        <w:rPr>
          <w:b/>
          <w:bCs/>
          <w:sz w:val="20"/>
          <w:szCs w:val="20"/>
        </w:rPr>
        <w:t> </w:t>
      </w:r>
    </w:p>
    <w:sectPr w:rsidR="00066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proofState w:spelling="clean" w:grammar="clean"/>
  <w:doNotTrackMoves/>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06"/>
    <w:rsid w:val="00066A06"/>
    <w:rsid w:val="00E536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84CB7"/>
  <w15:chartTrackingRefBased/>
  <w15:docId w15:val="{8277C4AA-CD63-4649-9BC6-DCC5C5C0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5249">
      <w:marLeft w:val="0"/>
      <w:marRight w:val="0"/>
      <w:marTop w:val="0"/>
      <w:marBottom w:val="0"/>
      <w:divBdr>
        <w:top w:val="none" w:sz="0" w:space="0" w:color="auto"/>
        <w:left w:val="none" w:sz="0" w:space="0" w:color="auto"/>
        <w:bottom w:val="none" w:sz="0" w:space="0" w:color="auto"/>
        <w:right w:val="none" w:sz="0" w:space="0" w:color="auto"/>
      </w:divBdr>
    </w:div>
    <w:div w:id="601182897">
      <w:marLeft w:val="0"/>
      <w:marRight w:val="0"/>
      <w:marTop w:val="0"/>
      <w:marBottom w:val="0"/>
      <w:divBdr>
        <w:top w:val="none" w:sz="0" w:space="0" w:color="auto"/>
        <w:left w:val="none" w:sz="0" w:space="0" w:color="auto"/>
        <w:bottom w:val="none" w:sz="0" w:space="0" w:color="auto"/>
        <w:right w:val="none" w:sz="0" w:space="0" w:color="auto"/>
      </w:divBdr>
    </w:div>
    <w:div w:id="1368407688">
      <w:marLeft w:val="0"/>
      <w:marRight w:val="0"/>
      <w:marTop w:val="0"/>
      <w:marBottom w:val="0"/>
      <w:divBdr>
        <w:top w:val="none" w:sz="0" w:space="0" w:color="auto"/>
        <w:left w:val="none" w:sz="0" w:space="0" w:color="auto"/>
        <w:bottom w:val="none" w:sz="0" w:space="0" w:color="auto"/>
        <w:right w:val="none" w:sz="0" w:space="0" w:color="auto"/>
      </w:divBdr>
      <w:divsChild>
        <w:div w:id="1271812721">
          <w:marLeft w:val="0"/>
          <w:marRight w:val="0"/>
          <w:marTop w:val="0"/>
          <w:marBottom w:val="0"/>
          <w:divBdr>
            <w:top w:val="single" w:sz="18" w:space="0" w:color="000000"/>
            <w:left w:val="none" w:sz="0" w:space="0" w:color="auto"/>
            <w:bottom w:val="single" w:sz="8" w:space="0" w:color="000000"/>
            <w:right w:val="none" w:sz="0" w:space="0" w:color="auto"/>
          </w:divBdr>
        </w:div>
      </w:divsChild>
    </w:div>
    <w:div w:id="1447194125">
      <w:marLeft w:val="0"/>
      <w:marRight w:val="0"/>
      <w:marTop w:val="0"/>
      <w:marBottom w:val="0"/>
      <w:divBdr>
        <w:top w:val="none" w:sz="0" w:space="0" w:color="auto"/>
        <w:left w:val="none" w:sz="0" w:space="0" w:color="auto"/>
        <w:bottom w:val="none" w:sz="0" w:space="0" w:color="auto"/>
        <w:right w:val="none" w:sz="0" w:space="0" w:color="auto"/>
      </w:divBdr>
      <w:divsChild>
        <w:div w:id="2010132249">
          <w:marLeft w:val="0"/>
          <w:marRight w:val="0"/>
          <w:marTop w:val="0"/>
          <w:marBottom w:val="0"/>
          <w:divBdr>
            <w:top w:val="single" w:sz="8" w:space="0" w:color="000000"/>
            <w:left w:val="none" w:sz="0" w:space="0" w:color="auto"/>
            <w:bottom w:val="single" w:sz="18" w:space="0" w:color="000000"/>
            <w:right w:val="none" w:sz="0" w:space="0" w:color="auto"/>
          </w:divBdr>
        </w:div>
      </w:divsChild>
    </w:div>
    <w:div w:id="1450582683">
      <w:marLeft w:val="0"/>
      <w:marRight w:val="0"/>
      <w:marTop w:val="0"/>
      <w:marBottom w:val="0"/>
      <w:divBdr>
        <w:top w:val="none" w:sz="0" w:space="0" w:color="auto"/>
        <w:left w:val="none" w:sz="0" w:space="0" w:color="auto"/>
        <w:bottom w:val="none" w:sz="0" w:space="0" w:color="auto"/>
        <w:right w:val="none" w:sz="0" w:space="0" w:color="auto"/>
      </w:divBdr>
    </w:div>
    <w:div w:id="19059430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file:///T:\tm2311334-1\tm2311334-1_6kseq1\captures\v002.01-2023-04-03-15-28-49-utc-111382-ClientDraft-D2.1\tm2311334d1_ex99-1img00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file:///\\tm.toppanmerrill.com\chi4\ActiveJobs\tm2311334-2\tm2311334-2_6kseq1\captures\v001.01-2023-04-04-12-11-59-utc-120473-ClientDraft-D2.2\tm2311334d2_ex99-1.htm" TargetMode="External"/><Relationship Id="rId10" Type="http://schemas.openxmlformats.org/officeDocument/2006/relationships/fontTable" Target="fontTable.xml"/><Relationship Id="rId4" Type="http://schemas.openxmlformats.org/officeDocument/2006/relationships/hyperlink" Target="file:///\\tm.toppanmerrill.com\chi4\ActiveJobs\tm2311334-2\tm2311334-2_6kseq1\captures\v001.01-2023-04-04-12-11-59-utc-120473-ClientDraft-D2.2\tm2311334d2_ex99-1.htm" TargetMode="External"/><Relationship Id="rId9" Type="http://schemas.openxmlformats.org/officeDocument/2006/relationships/image" Target="file:///T:\tm2311334-1\tm2311334-1_6kseq1\captures\v002.01-2023-04-03-15-28-49-utc-111382-ClientDraft-D2.1\tm2311334d1_ex99-1img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4903</Characters>
  <Application>Microsoft Office Word</Application>
  <DocSecurity>0</DocSecurity>
  <Lines>40</Lines>
  <Paragraphs>11</Paragraphs>
  <ScaleCrop>false</ScaleCrop>
  <Company>Toppan Merrill</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Hari Prasath</dc:creator>
  <cp:keywords/>
  <dc:description/>
  <cp:lastModifiedBy>Erez Nachtomy</cp:lastModifiedBy>
  <cp:revision>2</cp:revision>
  <dcterms:created xsi:type="dcterms:W3CDTF">2023-04-05T09:04:00Z</dcterms:created>
  <dcterms:modified xsi:type="dcterms:W3CDTF">2023-04-05T09:04:00Z</dcterms:modified>
</cp:coreProperties>
</file>