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65B4" w14:textId="77777777" w:rsidR="002E45D6" w:rsidRDefault="002A73D2">
      <w:pPr>
        <w:pStyle w:val="NormalWeb"/>
        <w:rPr>
          <w:sz w:val="20"/>
          <w:szCs w:val="20"/>
        </w:rPr>
      </w:pPr>
      <w:r>
        <w:rPr>
          <w:sz w:val="20"/>
          <w:szCs w:val="20"/>
        </w:rPr>
        <w:t> </w:t>
      </w:r>
    </w:p>
    <w:p w14:paraId="573E6C1A" w14:textId="77777777" w:rsidR="002E45D6" w:rsidRDefault="002A73D2">
      <w:pPr>
        <w:divId w:val="450366680"/>
        <w:rPr>
          <w:rFonts w:eastAsia="Times New Roman"/>
          <w:sz w:val="2"/>
          <w:szCs w:val="2"/>
        </w:rPr>
      </w:pPr>
      <w:r>
        <w:rPr>
          <w:rFonts w:eastAsia="Times New Roman"/>
          <w:sz w:val="2"/>
          <w:szCs w:val="2"/>
        </w:rPr>
        <w:t> </w:t>
      </w:r>
    </w:p>
    <w:p w14:paraId="10C606C0" w14:textId="77777777" w:rsidR="002E45D6" w:rsidRDefault="002A73D2">
      <w:pPr>
        <w:pStyle w:val="NormalWeb"/>
        <w:spacing w:before="0" w:beforeAutospacing="0" w:after="0" w:afterAutospacing="0"/>
        <w:rPr>
          <w:sz w:val="20"/>
          <w:szCs w:val="20"/>
        </w:rPr>
      </w:pPr>
      <w:r>
        <w:rPr>
          <w:sz w:val="20"/>
          <w:szCs w:val="20"/>
        </w:rPr>
        <w:t> </w:t>
      </w:r>
    </w:p>
    <w:p w14:paraId="17FDBD68" w14:textId="77777777" w:rsidR="002E45D6" w:rsidRDefault="002A73D2">
      <w:pPr>
        <w:pStyle w:val="NormalWeb"/>
        <w:spacing w:before="0" w:beforeAutospacing="0" w:after="0" w:afterAutospacing="0"/>
        <w:ind w:left="367"/>
        <w:jc w:val="center"/>
        <w:rPr>
          <w:b/>
          <w:bCs/>
          <w:sz w:val="28"/>
          <w:szCs w:val="28"/>
        </w:rPr>
      </w:pPr>
      <w:r>
        <w:rPr>
          <w:b/>
          <w:bCs/>
          <w:sz w:val="28"/>
          <w:szCs w:val="28"/>
        </w:rPr>
        <w:t>UNITED STATES</w:t>
      </w:r>
    </w:p>
    <w:p w14:paraId="7C580775" w14:textId="77777777" w:rsidR="002E45D6" w:rsidRDefault="002A73D2">
      <w:pPr>
        <w:pStyle w:val="NormalWeb"/>
        <w:spacing w:before="0" w:beforeAutospacing="0" w:after="0" w:afterAutospacing="0"/>
        <w:jc w:val="center"/>
        <w:rPr>
          <w:sz w:val="28"/>
          <w:szCs w:val="28"/>
        </w:rPr>
      </w:pPr>
      <w:r>
        <w:rPr>
          <w:b/>
          <w:bCs/>
          <w:sz w:val="28"/>
          <w:szCs w:val="28"/>
        </w:rPr>
        <w:t>SECURITIES AND EXCHANGE COMMISSION</w:t>
      </w:r>
    </w:p>
    <w:p w14:paraId="58231B0C" w14:textId="77777777" w:rsidR="002E45D6" w:rsidRDefault="002A73D2">
      <w:pPr>
        <w:pStyle w:val="NormalWeb"/>
        <w:spacing w:before="0" w:beforeAutospacing="0" w:after="0" w:afterAutospacing="0"/>
        <w:ind w:left="377" w:hanging="10"/>
        <w:jc w:val="center"/>
        <w:rPr>
          <w:sz w:val="20"/>
          <w:szCs w:val="20"/>
        </w:rPr>
      </w:pPr>
      <w:r>
        <w:rPr>
          <w:b/>
          <w:bCs/>
          <w:sz w:val="20"/>
          <w:szCs w:val="20"/>
        </w:rPr>
        <w:t>Washington, D.C. 20549</w:t>
      </w:r>
    </w:p>
    <w:p w14:paraId="55D18BD3" w14:textId="77777777" w:rsidR="002E45D6" w:rsidRDefault="002A73D2">
      <w:pPr>
        <w:pStyle w:val="NormalWeb"/>
        <w:spacing w:before="0" w:beforeAutospacing="0" w:after="0" w:afterAutospacing="0"/>
        <w:ind w:left="377" w:hanging="10"/>
        <w:jc w:val="center"/>
        <w:rPr>
          <w:sz w:val="20"/>
          <w:szCs w:val="20"/>
        </w:rPr>
      </w:pPr>
      <w:r>
        <w:rPr>
          <w:sz w:val="20"/>
          <w:szCs w:val="20"/>
        </w:rPr>
        <w:t> </w:t>
      </w:r>
    </w:p>
    <w:p w14:paraId="62EE1024" w14:textId="77777777" w:rsidR="002E45D6" w:rsidRDefault="002A73D2">
      <w:pPr>
        <w:pStyle w:val="NormalWeb"/>
        <w:spacing w:before="0" w:beforeAutospacing="0" w:after="0" w:afterAutospacing="0"/>
        <w:ind w:left="367"/>
        <w:jc w:val="center"/>
        <w:rPr>
          <w:b/>
          <w:bCs/>
          <w:sz w:val="36"/>
          <w:szCs w:val="36"/>
        </w:rPr>
      </w:pPr>
      <w:r>
        <w:rPr>
          <w:b/>
          <w:bCs/>
          <w:sz w:val="36"/>
          <w:szCs w:val="36"/>
        </w:rPr>
        <w:t>FORM 6-K</w:t>
      </w:r>
    </w:p>
    <w:p w14:paraId="61EE23E5" w14:textId="77777777" w:rsidR="002E45D6" w:rsidRDefault="002A73D2">
      <w:pPr>
        <w:pStyle w:val="NormalWeb"/>
        <w:spacing w:before="0" w:beforeAutospacing="0" w:after="0" w:afterAutospacing="0"/>
        <w:ind w:left="367"/>
        <w:jc w:val="center"/>
        <w:rPr>
          <w:b/>
          <w:bCs/>
          <w:sz w:val="20"/>
          <w:szCs w:val="20"/>
        </w:rPr>
      </w:pPr>
      <w:r>
        <w:rPr>
          <w:b/>
          <w:bCs/>
          <w:sz w:val="20"/>
          <w:szCs w:val="20"/>
        </w:rPr>
        <w:t> </w:t>
      </w:r>
    </w:p>
    <w:p w14:paraId="07E3FAD6" w14:textId="77777777" w:rsidR="002E45D6" w:rsidRDefault="002A73D2">
      <w:pPr>
        <w:pStyle w:val="NormalWeb"/>
        <w:spacing w:before="0" w:beforeAutospacing="0" w:after="0" w:afterAutospacing="0"/>
        <w:ind w:left="377" w:hanging="10"/>
        <w:jc w:val="center"/>
        <w:rPr>
          <w:sz w:val="20"/>
          <w:szCs w:val="20"/>
        </w:rPr>
      </w:pPr>
      <w:r>
        <w:rPr>
          <w:b/>
          <w:bCs/>
          <w:sz w:val="20"/>
          <w:szCs w:val="20"/>
        </w:rPr>
        <w:t>REPORT OF FOREIGN PRIVATE ISSUER PURSUANT TO RULE 13a-16 OR 15d-16 OF THE SECURITIES EXCHANGE ACT OF 1934</w:t>
      </w:r>
    </w:p>
    <w:p w14:paraId="501A93C5" w14:textId="77777777" w:rsidR="002E45D6" w:rsidRDefault="002A73D2">
      <w:pPr>
        <w:pStyle w:val="NormalWeb"/>
        <w:spacing w:before="0" w:beforeAutospacing="0" w:after="0" w:afterAutospacing="0"/>
        <w:ind w:left="377" w:hanging="10"/>
        <w:jc w:val="center"/>
        <w:rPr>
          <w:sz w:val="20"/>
          <w:szCs w:val="20"/>
        </w:rPr>
      </w:pPr>
      <w:r>
        <w:rPr>
          <w:sz w:val="20"/>
          <w:szCs w:val="20"/>
        </w:rPr>
        <w:t> </w:t>
      </w:r>
    </w:p>
    <w:p w14:paraId="26A3D6F7" w14:textId="77777777" w:rsidR="002E45D6" w:rsidRDefault="002A73D2">
      <w:pPr>
        <w:pStyle w:val="NormalWeb"/>
        <w:spacing w:before="0" w:beforeAutospacing="0" w:after="0" w:afterAutospacing="0"/>
        <w:ind w:left="377" w:hanging="10"/>
        <w:jc w:val="center"/>
        <w:rPr>
          <w:sz w:val="20"/>
          <w:szCs w:val="20"/>
        </w:rPr>
      </w:pPr>
      <w:r>
        <w:rPr>
          <w:b/>
          <w:bCs/>
          <w:sz w:val="20"/>
          <w:szCs w:val="20"/>
        </w:rPr>
        <w:t>For the month of: April 2023</w:t>
      </w:r>
    </w:p>
    <w:p w14:paraId="767A98DE" w14:textId="77777777" w:rsidR="002E45D6" w:rsidRDefault="002A73D2">
      <w:pPr>
        <w:pStyle w:val="NormalWeb"/>
        <w:spacing w:before="0" w:beforeAutospacing="0" w:after="0" w:afterAutospacing="0"/>
        <w:ind w:left="377" w:hanging="10"/>
        <w:jc w:val="center"/>
        <w:rPr>
          <w:sz w:val="20"/>
          <w:szCs w:val="20"/>
        </w:rPr>
      </w:pPr>
      <w:r>
        <w:rPr>
          <w:sz w:val="20"/>
          <w:szCs w:val="20"/>
        </w:rPr>
        <w:t> </w:t>
      </w:r>
    </w:p>
    <w:p w14:paraId="5847865E" w14:textId="77777777" w:rsidR="002E45D6" w:rsidRDefault="002A73D2">
      <w:pPr>
        <w:pStyle w:val="NormalWeb"/>
        <w:spacing w:before="0" w:beforeAutospacing="0" w:after="0" w:afterAutospacing="0"/>
        <w:jc w:val="center"/>
        <w:rPr>
          <w:sz w:val="20"/>
          <w:szCs w:val="20"/>
        </w:rPr>
      </w:pPr>
      <w:r>
        <w:rPr>
          <w:b/>
          <w:bCs/>
          <w:sz w:val="20"/>
          <w:szCs w:val="20"/>
        </w:rPr>
        <w:t>001-41641</w:t>
      </w:r>
    </w:p>
    <w:p w14:paraId="4AFA9898" w14:textId="77777777" w:rsidR="002E45D6" w:rsidRDefault="002A73D2">
      <w:pPr>
        <w:pStyle w:val="NormalWeb"/>
        <w:spacing w:before="0" w:beforeAutospacing="0" w:after="0" w:afterAutospacing="0"/>
        <w:ind w:left="377" w:hanging="10"/>
        <w:jc w:val="center"/>
        <w:rPr>
          <w:sz w:val="20"/>
          <w:szCs w:val="20"/>
        </w:rPr>
      </w:pPr>
      <w:r>
        <w:rPr>
          <w:b/>
          <w:bCs/>
          <w:sz w:val="20"/>
          <w:szCs w:val="20"/>
        </w:rPr>
        <w:t>(Commission File Number)</w:t>
      </w:r>
    </w:p>
    <w:p w14:paraId="0ABCCDE6" w14:textId="77777777" w:rsidR="002E45D6" w:rsidRDefault="002A73D2">
      <w:pPr>
        <w:pStyle w:val="NormalWeb"/>
        <w:spacing w:before="0" w:beforeAutospacing="0" w:after="0" w:afterAutospacing="0"/>
        <w:jc w:val="center"/>
        <w:rPr>
          <w:sz w:val="20"/>
          <w:szCs w:val="20"/>
        </w:rPr>
      </w:pPr>
      <w:r>
        <w:rPr>
          <w:sz w:val="20"/>
          <w:szCs w:val="20"/>
        </w:rPr>
        <w:t> </w:t>
      </w:r>
    </w:p>
    <w:p w14:paraId="08339965" w14:textId="77777777" w:rsidR="002E45D6" w:rsidRDefault="002A73D2">
      <w:pPr>
        <w:pStyle w:val="NormalWeb"/>
        <w:spacing w:before="0" w:beforeAutospacing="0" w:after="0" w:afterAutospacing="0"/>
        <w:ind w:left="367"/>
        <w:jc w:val="center"/>
        <w:rPr>
          <w:sz w:val="48"/>
          <w:szCs w:val="48"/>
        </w:rPr>
      </w:pPr>
      <w:r>
        <w:rPr>
          <w:b/>
          <w:bCs/>
          <w:sz w:val="48"/>
          <w:szCs w:val="48"/>
        </w:rPr>
        <w:t>SHL TELEMEDICINE LTD.</w:t>
      </w:r>
    </w:p>
    <w:p w14:paraId="3E906AF1" w14:textId="77777777" w:rsidR="002E45D6" w:rsidRDefault="002A73D2">
      <w:pPr>
        <w:pStyle w:val="NormalWeb"/>
        <w:spacing w:before="0" w:beforeAutospacing="0" w:after="0" w:afterAutospacing="0"/>
        <w:ind w:left="377" w:hanging="10"/>
        <w:jc w:val="center"/>
        <w:rPr>
          <w:sz w:val="20"/>
          <w:szCs w:val="20"/>
        </w:rPr>
      </w:pPr>
      <w:r>
        <w:rPr>
          <w:sz w:val="20"/>
          <w:szCs w:val="20"/>
        </w:rPr>
        <w:t>(Translation of registrant’s name into English)</w:t>
      </w:r>
    </w:p>
    <w:p w14:paraId="456382AE" w14:textId="77777777" w:rsidR="002E45D6" w:rsidRDefault="002A73D2">
      <w:pPr>
        <w:pStyle w:val="NormalWeb"/>
        <w:spacing w:before="0" w:beforeAutospacing="0" w:after="0" w:afterAutospacing="0"/>
        <w:ind w:left="377" w:hanging="10"/>
        <w:jc w:val="center"/>
        <w:rPr>
          <w:sz w:val="20"/>
          <w:szCs w:val="20"/>
        </w:rPr>
      </w:pPr>
      <w:r>
        <w:rPr>
          <w:sz w:val="20"/>
          <w:szCs w:val="20"/>
        </w:rPr>
        <w:t> </w:t>
      </w:r>
    </w:p>
    <w:p w14:paraId="159932F7" w14:textId="77777777" w:rsidR="002E45D6" w:rsidRDefault="002A73D2">
      <w:pPr>
        <w:pStyle w:val="NormalWeb"/>
        <w:spacing w:before="0" w:beforeAutospacing="0" w:after="0" w:afterAutospacing="0"/>
        <w:ind w:left="377" w:hanging="10"/>
        <w:jc w:val="center"/>
        <w:rPr>
          <w:sz w:val="20"/>
          <w:szCs w:val="20"/>
        </w:rPr>
      </w:pPr>
      <w:r>
        <w:rPr>
          <w:b/>
          <w:bCs/>
          <w:sz w:val="20"/>
          <w:szCs w:val="20"/>
        </w:rPr>
        <w:t>90 Yigal Alon Street</w:t>
      </w:r>
    </w:p>
    <w:p w14:paraId="3144FAD5" w14:textId="77777777" w:rsidR="002E45D6" w:rsidRDefault="002A73D2">
      <w:pPr>
        <w:pStyle w:val="NormalWeb"/>
        <w:spacing w:before="0" w:beforeAutospacing="0" w:after="0" w:afterAutospacing="0"/>
        <w:ind w:left="377" w:hanging="10"/>
        <w:jc w:val="center"/>
        <w:rPr>
          <w:sz w:val="20"/>
          <w:szCs w:val="20"/>
        </w:rPr>
      </w:pPr>
      <w:r>
        <w:rPr>
          <w:b/>
          <w:bCs/>
          <w:sz w:val="20"/>
          <w:szCs w:val="20"/>
        </w:rPr>
        <w:t>Tel Aviv 67891, Israel</w:t>
      </w:r>
    </w:p>
    <w:p w14:paraId="3E5793B2" w14:textId="77777777" w:rsidR="002E45D6" w:rsidRDefault="002A73D2">
      <w:pPr>
        <w:pStyle w:val="NormalWeb"/>
        <w:spacing w:before="0" w:beforeAutospacing="0" w:after="0" w:afterAutospacing="0"/>
        <w:ind w:left="377" w:hanging="10"/>
        <w:jc w:val="center"/>
        <w:rPr>
          <w:sz w:val="20"/>
          <w:szCs w:val="20"/>
        </w:rPr>
      </w:pPr>
      <w:r>
        <w:rPr>
          <w:sz w:val="20"/>
          <w:szCs w:val="20"/>
        </w:rPr>
        <w:t>(Address of principal executive offices)</w:t>
      </w:r>
    </w:p>
    <w:p w14:paraId="40C9F718" w14:textId="77777777" w:rsidR="002E45D6" w:rsidRDefault="002A73D2">
      <w:pPr>
        <w:pStyle w:val="NormalWeb"/>
        <w:spacing w:before="0" w:beforeAutospacing="0" w:after="0" w:afterAutospacing="0"/>
        <w:ind w:left="377" w:hanging="10"/>
        <w:jc w:val="center"/>
        <w:rPr>
          <w:sz w:val="20"/>
          <w:szCs w:val="20"/>
        </w:rPr>
      </w:pPr>
      <w:r>
        <w:rPr>
          <w:sz w:val="20"/>
          <w:szCs w:val="20"/>
        </w:rPr>
        <w:t> </w:t>
      </w:r>
    </w:p>
    <w:p w14:paraId="1F192EFC" w14:textId="77777777" w:rsidR="002E45D6" w:rsidRDefault="002A73D2">
      <w:pPr>
        <w:pStyle w:val="NormalWeb"/>
        <w:spacing w:before="0" w:beforeAutospacing="0" w:after="0" w:afterAutospacing="0"/>
        <w:ind w:left="355" w:right="19" w:hanging="10"/>
        <w:rPr>
          <w:sz w:val="20"/>
          <w:szCs w:val="20"/>
        </w:rPr>
      </w:pPr>
      <w:r>
        <w:rPr>
          <w:sz w:val="20"/>
          <w:szCs w:val="20"/>
        </w:rPr>
        <w:t xml:space="preserve">Indicate by check mark whether the registrant files or will file </w:t>
      </w:r>
      <w:r>
        <w:rPr>
          <w:sz w:val="20"/>
          <w:szCs w:val="20"/>
        </w:rPr>
        <w:t>annual reports under cover Form 20-F or Form 40-F.</w:t>
      </w:r>
    </w:p>
    <w:p w14:paraId="242C362A" w14:textId="77777777" w:rsidR="002E45D6" w:rsidRDefault="002A73D2">
      <w:pPr>
        <w:pStyle w:val="NormalWeb"/>
        <w:spacing w:before="0" w:beforeAutospacing="0" w:after="0" w:afterAutospacing="0"/>
        <w:ind w:left="355" w:right="19" w:hanging="10"/>
        <w:rPr>
          <w:sz w:val="20"/>
          <w:szCs w:val="20"/>
        </w:rPr>
      </w:pPr>
      <w:r>
        <w:rPr>
          <w:sz w:val="20"/>
          <w:szCs w:val="20"/>
        </w:rPr>
        <w:t> </w:t>
      </w:r>
    </w:p>
    <w:p w14:paraId="4F26C113" w14:textId="77777777" w:rsidR="002E45D6" w:rsidRDefault="002A73D2">
      <w:pPr>
        <w:pStyle w:val="NormalWeb"/>
        <w:spacing w:before="0" w:beforeAutospacing="0" w:after="0" w:afterAutospacing="0"/>
        <w:ind w:left="377" w:hanging="10"/>
        <w:jc w:val="center"/>
        <w:rPr>
          <w:sz w:val="20"/>
          <w:szCs w:val="20"/>
        </w:rPr>
      </w:pPr>
      <w:r>
        <w:rPr>
          <w:sz w:val="20"/>
          <w:szCs w:val="20"/>
        </w:rPr>
        <w:t xml:space="preserve">Form 20-F </w:t>
      </w:r>
      <w:r>
        <w:rPr>
          <w:rFonts w:ascii="Wingdings" w:hAnsi="Wingdings"/>
          <w:sz w:val="20"/>
          <w:szCs w:val="20"/>
        </w:rPr>
        <w:t>x</w:t>
      </w:r>
      <w:r>
        <w:rPr>
          <w:sz w:val="20"/>
          <w:szCs w:val="20"/>
        </w:rPr>
        <w:t xml:space="preserve"> Form 40-F </w:t>
      </w:r>
      <w:r>
        <w:rPr>
          <w:rFonts w:ascii="Wingdings" w:hAnsi="Wingdings"/>
          <w:sz w:val="20"/>
          <w:szCs w:val="20"/>
        </w:rPr>
        <w:t>o</w:t>
      </w:r>
    </w:p>
    <w:p w14:paraId="1CC9CB40" w14:textId="77777777" w:rsidR="002E45D6" w:rsidRDefault="002A73D2">
      <w:pPr>
        <w:pStyle w:val="NormalWeb"/>
        <w:spacing w:before="0" w:beforeAutospacing="0" w:after="0" w:afterAutospacing="0"/>
        <w:ind w:left="377" w:hanging="10"/>
        <w:jc w:val="center"/>
        <w:rPr>
          <w:sz w:val="20"/>
          <w:szCs w:val="20"/>
        </w:rPr>
      </w:pPr>
      <w:r>
        <w:rPr>
          <w:sz w:val="20"/>
          <w:szCs w:val="20"/>
        </w:rPr>
        <w:t> </w:t>
      </w:r>
    </w:p>
    <w:p w14:paraId="04870575" w14:textId="77777777" w:rsidR="002E45D6" w:rsidRDefault="002A73D2">
      <w:pPr>
        <w:divId w:val="1980720833"/>
        <w:rPr>
          <w:rFonts w:eastAsia="Times New Roman"/>
          <w:sz w:val="2"/>
          <w:szCs w:val="2"/>
        </w:rPr>
      </w:pPr>
      <w:r>
        <w:rPr>
          <w:rFonts w:eastAsia="Times New Roman"/>
          <w:sz w:val="2"/>
          <w:szCs w:val="2"/>
        </w:rPr>
        <w:t> </w:t>
      </w:r>
    </w:p>
    <w:p w14:paraId="4AE91D9D" w14:textId="77777777" w:rsidR="002E45D6" w:rsidRDefault="002A73D2">
      <w:pPr>
        <w:pStyle w:val="NormalWeb"/>
        <w:spacing w:before="0" w:beforeAutospacing="0" w:after="0" w:afterAutospacing="0"/>
        <w:divId w:val="529031284"/>
        <w:rPr>
          <w:sz w:val="20"/>
          <w:szCs w:val="20"/>
        </w:rPr>
      </w:pPr>
      <w:r>
        <w:rPr>
          <w:sz w:val="20"/>
          <w:szCs w:val="20"/>
        </w:rPr>
        <w:t> </w:t>
      </w:r>
    </w:p>
    <w:p w14:paraId="6C21EE25" w14:textId="77777777" w:rsidR="002E45D6" w:rsidRDefault="002A73D2">
      <w:pPr>
        <w:pStyle w:val="NormalWeb"/>
        <w:pageBreakBefore/>
        <w:spacing w:before="0" w:beforeAutospacing="0" w:after="0" w:afterAutospacing="0"/>
        <w:divId w:val="1405488340"/>
        <w:rPr>
          <w:sz w:val="20"/>
          <w:szCs w:val="20"/>
        </w:rPr>
      </w:pPr>
      <w:r>
        <w:rPr>
          <w:sz w:val="20"/>
          <w:szCs w:val="20"/>
        </w:rPr>
        <w:lastRenderedPageBreak/>
        <w:t> </w:t>
      </w:r>
    </w:p>
    <w:p w14:paraId="6CB9E0AC" w14:textId="77777777" w:rsidR="002E45D6" w:rsidRDefault="002A73D2">
      <w:pPr>
        <w:pStyle w:val="NormalWeb"/>
        <w:spacing w:before="0" w:beforeAutospacing="0" w:after="0" w:afterAutospacing="0"/>
        <w:divId w:val="669715008"/>
        <w:rPr>
          <w:sz w:val="20"/>
          <w:szCs w:val="20"/>
        </w:rPr>
      </w:pPr>
      <w:r>
        <w:rPr>
          <w:sz w:val="20"/>
          <w:szCs w:val="20"/>
        </w:rPr>
        <w:t> </w:t>
      </w:r>
    </w:p>
    <w:p w14:paraId="31ED2198" w14:textId="77777777" w:rsidR="002E45D6" w:rsidRDefault="002A73D2">
      <w:pPr>
        <w:pStyle w:val="NormalWeb"/>
        <w:spacing w:before="0" w:beforeAutospacing="0" w:after="0" w:afterAutospacing="0"/>
        <w:ind w:left="377" w:hanging="10"/>
        <w:jc w:val="center"/>
        <w:rPr>
          <w:sz w:val="20"/>
          <w:szCs w:val="20"/>
        </w:rPr>
      </w:pPr>
      <w:r>
        <w:rPr>
          <w:sz w:val="20"/>
          <w:szCs w:val="20"/>
        </w:rPr>
        <w:t> </w:t>
      </w:r>
    </w:p>
    <w:p w14:paraId="712E887A" w14:textId="77777777" w:rsidR="002E45D6" w:rsidRDefault="002A73D2">
      <w:pPr>
        <w:pStyle w:val="NormalWeb"/>
        <w:spacing w:before="0" w:beforeAutospacing="0" w:after="0" w:afterAutospacing="0"/>
        <w:ind w:left="360"/>
        <w:jc w:val="center"/>
        <w:rPr>
          <w:sz w:val="20"/>
          <w:szCs w:val="20"/>
        </w:rPr>
      </w:pPr>
      <w:r>
        <w:rPr>
          <w:b/>
          <w:bCs/>
          <w:sz w:val="20"/>
          <w:szCs w:val="20"/>
        </w:rPr>
        <w:t>INFORMATION CONTAINED IN THIS FORM 6-K REPORT</w:t>
      </w:r>
    </w:p>
    <w:p w14:paraId="21369C5E" w14:textId="77777777" w:rsidR="002E45D6" w:rsidRDefault="002A73D2">
      <w:pPr>
        <w:pStyle w:val="NormalWeb"/>
        <w:spacing w:before="0" w:beforeAutospacing="0" w:after="0" w:afterAutospacing="0"/>
        <w:ind w:left="360"/>
        <w:jc w:val="center"/>
        <w:rPr>
          <w:sz w:val="20"/>
          <w:szCs w:val="20"/>
        </w:rPr>
      </w:pPr>
      <w:r>
        <w:rPr>
          <w:sz w:val="20"/>
          <w:szCs w:val="20"/>
        </w:rPr>
        <w:t> </w:t>
      </w:r>
    </w:p>
    <w:p w14:paraId="4719994A" w14:textId="77777777" w:rsidR="002E45D6" w:rsidRDefault="002A73D2">
      <w:pPr>
        <w:pStyle w:val="NormalWeb"/>
        <w:spacing w:before="0" w:beforeAutospacing="0" w:after="0" w:afterAutospacing="0"/>
        <w:ind w:firstLine="415"/>
        <w:jc w:val="both"/>
        <w:rPr>
          <w:sz w:val="20"/>
          <w:szCs w:val="20"/>
        </w:rPr>
      </w:pPr>
      <w:r>
        <w:rPr>
          <w:sz w:val="20"/>
          <w:szCs w:val="20"/>
        </w:rPr>
        <w:t xml:space="preserve">On April 17, 2023, SHL Telemedicine Ltd. (the “Company”) issued a press release announcing that the Company has </w:t>
      </w:r>
      <w:r>
        <w:rPr>
          <w:sz w:val="20"/>
          <w:szCs w:val="20"/>
        </w:rPr>
        <w:t>been granted an extension of the deadline to publish and file its Annual Report for the fiscal year 2022 by the SIX Exchange Regulation and will publish and file it on May 11, 2023. A copy of the press release is attached hereto as Exhibit 99.1 and is inco</w:t>
      </w:r>
      <w:r>
        <w:rPr>
          <w:sz w:val="20"/>
          <w:szCs w:val="20"/>
        </w:rPr>
        <w:t>rporated herein by reference. The press release contains forward-looking statements and includes cautionary statements identifying important factors that could cause actual results to differ materially from those in the forward-looking statements.</w:t>
      </w:r>
    </w:p>
    <w:p w14:paraId="3C1A8F3D" w14:textId="77777777" w:rsidR="002E45D6" w:rsidRDefault="002A73D2">
      <w:pPr>
        <w:pStyle w:val="NormalWeb"/>
        <w:spacing w:before="0" w:beforeAutospacing="0" w:after="0" w:afterAutospacing="0"/>
        <w:ind w:left="345" w:right="19" w:firstLine="415"/>
        <w:jc w:val="both"/>
        <w:rPr>
          <w:sz w:val="20"/>
          <w:szCs w:val="20"/>
        </w:rPr>
      </w:pPr>
      <w:r>
        <w:rPr>
          <w:sz w:val="20"/>
          <w:szCs w:val="20"/>
        </w:rPr>
        <w:t> </w:t>
      </w:r>
    </w:p>
    <w:p w14:paraId="61F5EB74" w14:textId="77777777" w:rsidR="002E45D6" w:rsidRDefault="002A73D2">
      <w:pPr>
        <w:pStyle w:val="NormalWeb"/>
        <w:spacing w:before="0" w:beforeAutospacing="0" w:after="0" w:afterAutospacing="0"/>
        <w:divId w:val="992492397"/>
        <w:rPr>
          <w:sz w:val="20"/>
          <w:szCs w:val="20"/>
        </w:rPr>
      </w:pPr>
      <w:r>
        <w:rPr>
          <w:sz w:val="20"/>
          <w:szCs w:val="20"/>
        </w:rPr>
        <w:t> </w:t>
      </w:r>
    </w:p>
    <w:p w14:paraId="3256A83E" w14:textId="77777777" w:rsidR="002E45D6" w:rsidRDefault="002A73D2">
      <w:pPr>
        <w:pStyle w:val="NormalWeb"/>
        <w:pageBreakBefore/>
        <w:spacing w:before="0" w:beforeAutospacing="0" w:after="0" w:afterAutospacing="0"/>
        <w:divId w:val="1561021004"/>
        <w:rPr>
          <w:sz w:val="20"/>
          <w:szCs w:val="20"/>
        </w:rPr>
      </w:pPr>
      <w:r>
        <w:rPr>
          <w:sz w:val="20"/>
          <w:szCs w:val="20"/>
        </w:rPr>
        <w:lastRenderedPageBreak/>
        <w:t> </w:t>
      </w:r>
    </w:p>
    <w:p w14:paraId="418129F7" w14:textId="77777777" w:rsidR="002E45D6" w:rsidRDefault="002A73D2">
      <w:pPr>
        <w:pStyle w:val="NormalWeb"/>
        <w:spacing w:before="0" w:beforeAutospacing="0" w:after="0" w:afterAutospacing="0"/>
        <w:divId w:val="1677001796"/>
        <w:rPr>
          <w:sz w:val="20"/>
          <w:szCs w:val="20"/>
        </w:rPr>
      </w:pPr>
      <w:r>
        <w:rPr>
          <w:sz w:val="20"/>
          <w:szCs w:val="20"/>
        </w:rPr>
        <w:t> </w:t>
      </w:r>
    </w:p>
    <w:p w14:paraId="1333C199" w14:textId="77777777" w:rsidR="002E45D6" w:rsidRDefault="002A73D2">
      <w:pPr>
        <w:pStyle w:val="NormalWeb"/>
        <w:spacing w:before="0" w:beforeAutospacing="0" w:after="0" w:afterAutospacing="0"/>
        <w:ind w:left="345" w:right="19" w:firstLine="415"/>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308"/>
        <w:gridCol w:w="140"/>
        <w:gridCol w:w="7912"/>
      </w:tblGrid>
      <w:tr w:rsidR="002E45D6" w14:paraId="15F3F619" w14:textId="77777777">
        <w:trPr>
          <w:tblCellSpacing w:w="0" w:type="dxa"/>
        </w:trPr>
        <w:tc>
          <w:tcPr>
            <w:tcW w:w="0" w:type="auto"/>
            <w:tcBorders>
              <w:bottom w:val="single" w:sz="8" w:space="0" w:color="000000"/>
            </w:tcBorders>
            <w:hideMark/>
          </w:tcPr>
          <w:p w14:paraId="4396CE64" w14:textId="77777777" w:rsidR="002E45D6" w:rsidRDefault="002A73D2">
            <w:pPr>
              <w:jc w:val="center"/>
              <w:rPr>
                <w:rFonts w:eastAsia="Times New Roman"/>
                <w:sz w:val="20"/>
                <w:szCs w:val="20"/>
              </w:rPr>
            </w:pPr>
            <w:r>
              <w:rPr>
                <w:rFonts w:eastAsia="Times New Roman"/>
                <w:b/>
                <w:bCs/>
                <w:sz w:val="20"/>
                <w:szCs w:val="20"/>
              </w:rPr>
              <w:t>Exhibit</w:t>
            </w:r>
          </w:p>
        </w:tc>
        <w:tc>
          <w:tcPr>
            <w:tcW w:w="0" w:type="auto"/>
            <w:hideMark/>
          </w:tcPr>
          <w:p w14:paraId="0B78BAEE" w14:textId="77777777" w:rsidR="002E45D6" w:rsidRDefault="002A73D2">
            <w:pPr>
              <w:rPr>
                <w:rFonts w:eastAsia="Times New Roman"/>
                <w:sz w:val="20"/>
                <w:szCs w:val="20"/>
              </w:rPr>
            </w:pPr>
            <w:r>
              <w:rPr>
                <w:rFonts w:eastAsia="Times New Roman"/>
                <w:sz w:val="20"/>
                <w:szCs w:val="20"/>
              </w:rPr>
              <w:t> </w:t>
            </w:r>
          </w:p>
        </w:tc>
        <w:tc>
          <w:tcPr>
            <w:tcW w:w="0" w:type="auto"/>
            <w:tcBorders>
              <w:bottom w:val="single" w:sz="8" w:space="0" w:color="000000"/>
            </w:tcBorders>
            <w:tcMar>
              <w:top w:w="0" w:type="dxa"/>
              <w:left w:w="0" w:type="dxa"/>
              <w:bottom w:w="0" w:type="dxa"/>
              <w:right w:w="19" w:type="dxa"/>
            </w:tcMar>
            <w:hideMark/>
          </w:tcPr>
          <w:p w14:paraId="31A805D1" w14:textId="77777777" w:rsidR="002E45D6" w:rsidRDefault="002A73D2">
            <w:pPr>
              <w:rPr>
                <w:rFonts w:eastAsia="Times New Roman"/>
                <w:sz w:val="20"/>
                <w:szCs w:val="20"/>
              </w:rPr>
            </w:pPr>
            <w:r>
              <w:rPr>
                <w:rFonts w:eastAsia="Times New Roman"/>
                <w:b/>
                <w:bCs/>
                <w:sz w:val="20"/>
                <w:szCs w:val="20"/>
              </w:rPr>
              <w:t>Description</w:t>
            </w:r>
          </w:p>
        </w:tc>
      </w:tr>
      <w:tr w:rsidR="002E45D6" w14:paraId="43CDA6DF" w14:textId="77777777">
        <w:trPr>
          <w:tblCellSpacing w:w="0" w:type="dxa"/>
        </w:trPr>
        <w:tc>
          <w:tcPr>
            <w:tcW w:w="0" w:type="auto"/>
            <w:hideMark/>
          </w:tcPr>
          <w:p w14:paraId="4B34E862" w14:textId="77777777" w:rsidR="002E45D6" w:rsidRDefault="002A73D2">
            <w:pPr>
              <w:jc w:val="center"/>
              <w:rPr>
                <w:rFonts w:eastAsia="Times New Roman"/>
                <w:sz w:val="20"/>
                <w:szCs w:val="20"/>
              </w:rPr>
            </w:pPr>
            <w:r>
              <w:rPr>
                <w:rFonts w:eastAsia="Times New Roman"/>
                <w:sz w:val="20"/>
                <w:szCs w:val="20"/>
              </w:rPr>
              <w:t> </w:t>
            </w:r>
          </w:p>
        </w:tc>
        <w:tc>
          <w:tcPr>
            <w:tcW w:w="0" w:type="auto"/>
            <w:hideMark/>
          </w:tcPr>
          <w:p w14:paraId="47C3E67F" w14:textId="77777777" w:rsidR="002E45D6" w:rsidRDefault="002A73D2">
            <w:pPr>
              <w:rPr>
                <w:rFonts w:eastAsia="Times New Roman"/>
                <w:sz w:val="20"/>
                <w:szCs w:val="20"/>
              </w:rPr>
            </w:pPr>
            <w:r>
              <w:rPr>
                <w:rFonts w:eastAsia="Times New Roman"/>
                <w:sz w:val="20"/>
                <w:szCs w:val="20"/>
              </w:rPr>
              <w:t> </w:t>
            </w:r>
          </w:p>
        </w:tc>
        <w:tc>
          <w:tcPr>
            <w:tcW w:w="0" w:type="auto"/>
            <w:tcMar>
              <w:top w:w="0" w:type="dxa"/>
              <w:left w:w="0" w:type="dxa"/>
              <w:bottom w:w="0" w:type="dxa"/>
              <w:right w:w="19" w:type="dxa"/>
            </w:tcMar>
            <w:hideMark/>
          </w:tcPr>
          <w:p w14:paraId="416E6962" w14:textId="77777777" w:rsidR="002E45D6" w:rsidRDefault="002A73D2">
            <w:pPr>
              <w:rPr>
                <w:rFonts w:eastAsia="Times New Roman"/>
                <w:sz w:val="20"/>
                <w:szCs w:val="20"/>
              </w:rPr>
            </w:pPr>
            <w:r>
              <w:rPr>
                <w:rFonts w:eastAsia="Times New Roman"/>
                <w:sz w:val="20"/>
                <w:szCs w:val="20"/>
              </w:rPr>
              <w:t> </w:t>
            </w:r>
          </w:p>
        </w:tc>
      </w:tr>
      <w:tr w:rsidR="002E45D6" w14:paraId="3D9A37AF" w14:textId="77777777">
        <w:trPr>
          <w:tblCellSpacing w:w="0" w:type="dxa"/>
        </w:trPr>
        <w:tc>
          <w:tcPr>
            <w:tcW w:w="1308" w:type="dxa"/>
            <w:hideMark/>
          </w:tcPr>
          <w:p w14:paraId="4387A3C9" w14:textId="77777777" w:rsidR="002E45D6" w:rsidRDefault="002A73D2">
            <w:pPr>
              <w:jc w:val="center"/>
              <w:rPr>
                <w:rFonts w:eastAsia="Times New Roman"/>
                <w:sz w:val="20"/>
                <w:szCs w:val="20"/>
              </w:rPr>
            </w:pPr>
            <w:hyperlink r:id="rId4" w:history="1">
              <w:r>
                <w:rPr>
                  <w:rStyle w:val="Hyperlink"/>
                  <w:rFonts w:eastAsia="Times New Roman"/>
                  <w:sz w:val="20"/>
                  <w:szCs w:val="20"/>
                </w:rPr>
                <w:t>99.1</w:t>
              </w:r>
            </w:hyperlink>
          </w:p>
        </w:tc>
        <w:tc>
          <w:tcPr>
            <w:tcW w:w="0" w:type="auto"/>
            <w:hideMark/>
          </w:tcPr>
          <w:p w14:paraId="45A329A4" w14:textId="77777777" w:rsidR="002E45D6" w:rsidRDefault="002A73D2">
            <w:pPr>
              <w:rPr>
                <w:rFonts w:eastAsia="Times New Roman"/>
                <w:sz w:val="20"/>
                <w:szCs w:val="20"/>
              </w:rPr>
            </w:pPr>
            <w:r>
              <w:rPr>
                <w:rFonts w:eastAsia="Times New Roman"/>
                <w:sz w:val="20"/>
                <w:szCs w:val="20"/>
              </w:rPr>
              <w:t> </w:t>
            </w:r>
          </w:p>
        </w:tc>
        <w:tc>
          <w:tcPr>
            <w:tcW w:w="0" w:type="auto"/>
            <w:tcMar>
              <w:top w:w="0" w:type="dxa"/>
              <w:left w:w="0" w:type="dxa"/>
              <w:bottom w:w="0" w:type="dxa"/>
              <w:right w:w="19" w:type="dxa"/>
            </w:tcMar>
            <w:hideMark/>
          </w:tcPr>
          <w:p w14:paraId="1F814754" w14:textId="77777777" w:rsidR="002E45D6" w:rsidRDefault="002A73D2">
            <w:pPr>
              <w:rPr>
                <w:rFonts w:eastAsia="Times New Roman"/>
                <w:sz w:val="20"/>
                <w:szCs w:val="20"/>
              </w:rPr>
            </w:pPr>
            <w:hyperlink r:id="rId5" w:history="1">
              <w:r>
                <w:rPr>
                  <w:rStyle w:val="Hyperlink"/>
                  <w:rFonts w:eastAsia="Times New Roman"/>
                  <w:sz w:val="20"/>
                  <w:szCs w:val="20"/>
                </w:rPr>
                <w:t>Press Release dated April 17, 2023</w:t>
              </w:r>
            </w:hyperlink>
          </w:p>
        </w:tc>
      </w:tr>
    </w:tbl>
    <w:p w14:paraId="60570A11" w14:textId="77777777" w:rsidR="002E45D6" w:rsidRDefault="002A73D2">
      <w:pPr>
        <w:pStyle w:val="NormalWeb"/>
        <w:spacing w:before="0" w:beforeAutospacing="0" w:after="0" w:afterAutospacing="0"/>
        <w:rPr>
          <w:sz w:val="20"/>
          <w:szCs w:val="20"/>
        </w:rPr>
      </w:pPr>
      <w:r>
        <w:rPr>
          <w:sz w:val="20"/>
          <w:szCs w:val="20"/>
        </w:rPr>
        <w:t> </w:t>
      </w:r>
    </w:p>
    <w:p w14:paraId="062A11AF" w14:textId="77777777" w:rsidR="002E45D6" w:rsidRDefault="002A73D2">
      <w:pPr>
        <w:pStyle w:val="NormalWeb"/>
        <w:spacing w:before="0" w:beforeAutospacing="0" w:after="0" w:afterAutospacing="0"/>
        <w:divId w:val="480076658"/>
        <w:rPr>
          <w:sz w:val="20"/>
          <w:szCs w:val="20"/>
        </w:rPr>
      </w:pPr>
      <w:r>
        <w:rPr>
          <w:sz w:val="20"/>
          <w:szCs w:val="20"/>
        </w:rPr>
        <w:t> </w:t>
      </w:r>
    </w:p>
    <w:p w14:paraId="16F52272" w14:textId="77777777" w:rsidR="002E45D6" w:rsidRDefault="002A73D2">
      <w:pPr>
        <w:pStyle w:val="NormalWeb"/>
        <w:pageBreakBefore/>
        <w:spacing w:before="0" w:beforeAutospacing="0" w:after="0" w:afterAutospacing="0"/>
        <w:divId w:val="874928416"/>
        <w:rPr>
          <w:sz w:val="20"/>
          <w:szCs w:val="20"/>
        </w:rPr>
      </w:pPr>
      <w:r>
        <w:rPr>
          <w:sz w:val="20"/>
          <w:szCs w:val="20"/>
        </w:rPr>
        <w:lastRenderedPageBreak/>
        <w:t> </w:t>
      </w:r>
    </w:p>
    <w:p w14:paraId="553727E9" w14:textId="77777777" w:rsidR="002E45D6" w:rsidRDefault="002A73D2">
      <w:pPr>
        <w:pStyle w:val="NormalWeb"/>
        <w:spacing w:before="0" w:beforeAutospacing="0" w:after="0" w:afterAutospacing="0"/>
        <w:divId w:val="917058772"/>
        <w:rPr>
          <w:sz w:val="20"/>
          <w:szCs w:val="20"/>
        </w:rPr>
      </w:pPr>
      <w:r>
        <w:rPr>
          <w:sz w:val="20"/>
          <w:szCs w:val="20"/>
        </w:rPr>
        <w:t> </w:t>
      </w:r>
    </w:p>
    <w:p w14:paraId="4002EDD6" w14:textId="77777777" w:rsidR="002E45D6" w:rsidRDefault="002A73D2">
      <w:pPr>
        <w:pStyle w:val="NormalWeb"/>
        <w:spacing w:before="0" w:beforeAutospacing="0" w:after="0" w:afterAutospacing="0"/>
        <w:rPr>
          <w:sz w:val="20"/>
          <w:szCs w:val="20"/>
        </w:rPr>
      </w:pPr>
      <w:r>
        <w:rPr>
          <w:sz w:val="20"/>
          <w:szCs w:val="20"/>
        </w:rPr>
        <w:t> </w:t>
      </w:r>
    </w:p>
    <w:p w14:paraId="4B6AFC90" w14:textId="77777777" w:rsidR="002E45D6" w:rsidRDefault="002A73D2">
      <w:pPr>
        <w:pStyle w:val="NormalWeb"/>
        <w:spacing w:before="0" w:beforeAutospacing="0" w:after="0" w:afterAutospacing="0"/>
        <w:jc w:val="center"/>
        <w:rPr>
          <w:sz w:val="20"/>
          <w:szCs w:val="20"/>
        </w:rPr>
      </w:pPr>
      <w:r>
        <w:rPr>
          <w:b/>
          <w:bCs/>
          <w:sz w:val="20"/>
          <w:szCs w:val="20"/>
        </w:rPr>
        <w:t>SIGNATURE</w:t>
      </w:r>
    </w:p>
    <w:p w14:paraId="626807A3" w14:textId="77777777" w:rsidR="002E45D6" w:rsidRDefault="002A73D2">
      <w:pPr>
        <w:pStyle w:val="NormalWeb"/>
        <w:spacing w:before="0" w:beforeAutospacing="0" w:after="0" w:afterAutospacing="0"/>
        <w:rPr>
          <w:sz w:val="20"/>
          <w:szCs w:val="20"/>
        </w:rPr>
      </w:pPr>
      <w:r>
        <w:rPr>
          <w:sz w:val="20"/>
          <w:szCs w:val="20"/>
        </w:rPr>
        <w:t> </w:t>
      </w:r>
    </w:p>
    <w:p w14:paraId="4BF9E490" w14:textId="77777777" w:rsidR="002E45D6" w:rsidRDefault="002A73D2">
      <w:pPr>
        <w:pStyle w:val="NormalWeb"/>
        <w:spacing w:before="0" w:beforeAutospacing="0" w:after="0" w:afterAutospacing="0"/>
        <w:ind w:left="345" w:right="19" w:firstLine="415"/>
        <w:jc w:val="both"/>
        <w:rPr>
          <w:sz w:val="20"/>
          <w:szCs w:val="20"/>
        </w:rPr>
      </w:pPr>
      <w:r>
        <w:rPr>
          <w:sz w:val="20"/>
          <w:szCs w:val="20"/>
        </w:rPr>
        <w:t>Pursuant to the requirements of the Securities Exchange Act of 1934, the registrant has duly caused this report to be signed on its behalf by the undersigned, thereunto duly authorized.</w:t>
      </w:r>
    </w:p>
    <w:p w14:paraId="4CC234D0" w14:textId="77777777" w:rsidR="002E45D6" w:rsidRDefault="002A73D2">
      <w:pPr>
        <w:pStyle w:val="NormalWeb"/>
        <w:spacing w:before="0" w:beforeAutospacing="0" w:after="0" w:afterAutospacing="0"/>
        <w:ind w:left="345" w:right="19" w:firstLine="415"/>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680"/>
        <w:gridCol w:w="374"/>
        <w:gridCol w:w="562"/>
        <w:gridCol w:w="3744"/>
      </w:tblGrid>
      <w:tr w:rsidR="002E45D6" w14:paraId="28BC3A45" w14:textId="77777777">
        <w:tc>
          <w:tcPr>
            <w:tcW w:w="0" w:type="auto"/>
            <w:vAlign w:val="bottom"/>
            <w:hideMark/>
          </w:tcPr>
          <w:p w14:paraId="5170FADC" w14:textId="77777777" w:rsidR="002E45D6" w:rsidRDefault="002A73D2">
            <w:pPr>
              <w:rPr>
                <w:rFonts w:eastAsia="Times New Roman"/>
                <w:sz w:val="20"/>
                <w:szCs w:val="20"/>
              </w:rPr>
            </w:pPr>
            <w:r>
              <w:rPr>
                <w:rFonts w:eastAsia="Times New Roman"/>
                <w:sz w:val="20"/>
                <w:szCs w:val="20"/>
              </w:rPr>
              <w:t> </w:t>
            </w:r>
          </w:p>
        </w:tc>
        <w:tc>
          <w:tcPr>
            <w:tcW w:w="0" w:type="auto"/>
            <w:gridSpan w:val="3"/>
            <w:vAlign w:val="bottom"/>
            <w:hideMark/>
          </w:tcPr>
          <w:p w14:paraId="7654A7F4" w14:textId="77777777" w:rsidR="002E45D6" w:rsidRDefault="002A73D2">
            <w:pPr>
              <w:rPr>
                <w:rFonts w:eastAsia="Times New Roman"/>
                <w:b/>
                <w:bCs/>
                <w:sz w:val="20"/>
                <w:szCs w:val="20"/>
              </w:rPr>
            </w:pPr>
            <w:r>
              <w:rPr>
                <w:rFonts w:eastAsia="Times New Roman"/>
                <w:b/>
                <w:bCs/>
                <w:sz w:val="20"/>
                <w:szCs w:val="20"/>
              </w:rPr>
              <w:t>SHL TELEMEDICINE LTD.</w:t>
            </w:r>
          </w:p>
        </w:tc>
      </w:tr>
      <w:tr w:rsidR="002E45D6" w14:paraId="3AED6658" w14:textId="77777777">
        <w:tc>
          <w:tcPr>
            <w:tcW w:w="0" w:type="auto"/>
            <w:vAlign w:val="bottom"/>
            <w:hideMark/>
          </w:tcPr>
          <w:p w14:paraId="58144201" w14:textId="77777777" w:rsidR="002E45D6" w:rsidRDefault="002A73D2">
            <w:pPr>
              <w:rPr>
                <w:rFonts w:eastAsia="Times New Roman"/>
                <w:sz w:val="20"/>
                <w:szCs w:val="20"/>
              </w:rPr>
            </w:pPr>
            <w:r>
              <w:rPr>
                <w:rFonts w:eastAsia="Times New Roman"/>
                <w:sz w:val="20"/>
                <w:szCs w:val="20"/>
              </w:rPr>
              <w:t> </w:t>
            </w:r>
          </w:p>
        </w:tc>
        <w:tc>
          <w:tcPr>
            <w:tcW w:w="0" w:type="auto"/>
            <w:gridSpan w:val="3"/>
            <w:vAlign w:val="bottom"/>
            <w:hideMark/>
          </w:tcPr>
          <w:p w14:paraId="1C351182" w14:textId="77777777" w:rsidR="002E45D6" w:rsidRDefault="002A73D2">
            <w:pPr>
              <w:rPr>
                <w:rFonts w:eastAsia="Times New Roman"/>
                <w:sz w:val="20"/>
                <w:szCs w:val="20"/>
              </w:rPr>
            </w:pPr>
            <w:r>
              <w:rPr>
                <w:rFonts w:eastAsia="Times New Roman"/>
                <w:sz w:val="20"/>
                <w:szCs w:val="20"/>
              </w:rPr>
              <w:t> </w:t>
            </w:r>
          </w:p>
        </w:tc>
      </w:tr>
      <w:tr w:rsidR="002E45D6" w14:paraId="6B88E719" w14:textId="77777777">
        <w:tc>
          <w:tcPr>
            <w:tcW w:w="2500" w:type="pct"/>
            <w:vAlign w:val="bottom"/>
            <w:hideMark/>
          </w:tcPr>
          <w:p w14:paraId="407C07B3" w14:textId="77777777" w:rsidR="002E45D6" w:rsidRDefault="002A73D2">
            <w:pPr>
              <w:rPr>
                <w:rFonts w:eastAsia="Times New Roman"/>
                <w:sz w:val="20"/>
                <w:szCs w:val="20"/>
              </w:rPr>
            </w:pPr>
            <w:r>
              <w:rPr>
                <w:rFonts w:eastAsia="Times New Roman"/>
                <w:sz w:val="20"/>
                <w:szCs w:val="20"/>
              </w:rPr>
              <w:t> </w:t>
            </w:r>
          </w:p>
        </w:tc>
        <w:tc>
          <w:tcPr>
            <w:tcW w:w="200" w:type="pct"/>
            <w:vAlign w:val="bottom"/>
            <w:hideMark/>
          </w:tcPr>
          <w:p w14:paraId="71402DAC" w14:textId="77777777" w:rsidR="002E45D6" w:rsidRDefault="002A73D2">
            <w:pPr>
              <w:rPr>
                <w:rFonts w:eastAsia="Times New Roman"/>
                <w:sz w:val="20"/>
                <w:szCs w:val="20"/>
              </w:rPr>
            </w:pPr>
            <w:r>
              <w:rPr>
                <w:rFonts w:eastAsia="Times New Roman"/>
                <w:sz w:val="20"/>
                <w:szCs w:val="20"/>
              </w:rPr>
              <w:t> </w:t>
            </w:r>
          </w:p>
        </w:tc>
        <w:tc>
          <w:tcPr>
            <w:tcW w:w="300" w:type="pct"/>
            <w:vAlign w:val="bottom"/>
            <w:hideMark/>
          </w:tcPr>
          <w:p w14:paraId="462522E9" w14:textId="77777777" w:rsidR="002E45D6" w:rsidRDefault="002A73D2">
            <w:pPr>
              <w:rPr>
                <w:rFonts w:eastAsia="Times New Roman"/>
                <w:sz w:val="20"/>
                <w:szCs w:val="20"/>
              </w:rPr>
            </w:pPr>
            <w:r>
              <w:rPr>
                <w:rFonts w:eastAsia="Times New Roman"/>
                <w:sz w:val="20"/>
                <w:szCs w:val="20"/>
              </w:rPr>
              <w:t xml:space="preserve">By: </w:t>
            </w:r>
          </w:p>
        </w:tc>
        <w:tc>
          <w:tcPr>
            <w:tcW w:w="2000" w:type="pct"/>
            <w:tcBorders>
              <w:bottom w:val="single" w:sz="8" w:space="0" w:color="000000"/>
            </w:tcBorders>
            <w:vAlign w:val="bottom"/>
            <w:hideMark/>
          </w:tcPr>
          <w:p w14:paraId="19B90F33" w14:textId="77777777" w:rsidR="002E45D6" w:rsidRDefault="002A73D2">
            <w:pPr>
              <w:rPr>
                <w:rFonts w:eastAsia="Times New Roman"/>
                <w:sz w:val="20"/>
                <w:szCs w:val="20"/>
              </w:rPr>
            </w:pPr>
            <w:r>
              <w:rPr>
                <w:rFonts w:eastAsia="Times New Roman"/>
                <w:sz w:val="20"/>
                <w:szCs w:val="20"/>
              </w:rPr>
              <w:t xml:space="preserve">/s/ Amir Hai </w:t>
            </w:r>
          </w:p>
        </w:tc>
      </w:tr>
      <w:tr w:rsidR="002E45D6" w14:paraId="1B215CF1" w14:textId="77777777">
        <w:tc>
          <w:tcPr>
            <w:tcW w:w="0" w:type="auto"/>
            <w:vAlign w:val="bottom"/>
            <w:hideMark/>
          </w:tcPr>
          <w:p w14:paraId="7E16A689" w14:textId="77777777" w:rsidR="002E45D6" w:rsidRDefault="002A73D2">
            <w:pPr>
              <w:rPr>
                <w:rFonts w:eastAsia="Times New Roman"/>
                <w:sz w:val="20"/>
                <w:szCs w:val="20"/>
              </w:rPr>
            </w:pPr>
            <w:r>
              <w:rPr>
                <w:rFonts w:eastAsia="Times New Roman"/>
                <w:sz w:val="20"/>
                <w:szCs w:val="20"/>
              </w:rPr>
              <w:t> </w:t>
            </w:r>
          </w:p>
        </w:tc>
        <w:tc>
          <w:tcPr>
            <w:tcW w:w="0" w:type="auto"/>
            <w:vAlign w:val="bottom"/>
            <w:hideMark/>
          </w:tcPr>
          <w:p w14:paraId="45FFCABC" w14:textId="77777777" w:rsidR="002E45D6" w:rsidRDefault="002A73D2">
            <w:pPr>
              <w:rPr>
                <w:rFonts w:eastAsia="Times New Roman"/>
                <w:sz w:val="20"/>
                <w:szCs w:val="20"/>
              </w:rPr>
            </w:pPr>
            <w:r>
              <w:rPr>
                <w:rFonts w:eastAsia="Times New Roman"/>
                <w:sz w:val="20"/>
                <w:szCs w:val="20"/>
              </w:rPr>
              <w:t> </w:t>
            </w:r>
          </w:p>
        </w:tc>
        <w:tc>
          <w:tcPr>
            <w:tcW w:w="0" w:type="auto"/>
            <w:vAlign w:val="bottom"/>
            <w:hideMark/>
          </w:tcPr>
          <w:p w14:paraId="0111569B" w14:textId="77777777" w:rsidR="002E45D6" w:rsidRDefault="002A73D2">
            <w:pPr>
              <w:rPr>
                <w:rFonts w:eastAsia="Times New Roman"/>
                <w:sz w:val="20"/>
                <w:szCs w:val="20"/>
              </w:rPr>
            </w:pPr>
            <w:r>
              <w:rPr>
                <w:rFonts w:eastAsia="Times New Roman"/>
                <w:sz w:val="20"/>
                <w:szCs w:val="20"/>
              </w:rPr>
              <w:t>Name:</w:t>
            </w:r>
          </w:p>
        </w:tc>
        <w:tc>
          <w:tcPr>
            <w:tcW w:w="0" w:type="auto"/>
            <w:vAlign w:val="bottom"/>
            <w:hideMark/>
          </w:tcPr>
          <w:p w14:paraId="113436A7" w14:textId="77777777" w:rsidR="002E45D6" w:rsidRDefault="002A73D2">
            <w:pPr>
              <w:rPr>
                <w:rFonts w:eastAsia="Times New Roman"/>
                <w:sz w:val="20"/>
                <w:szCs w:val="20"/>
              </w:rPr>
            </w:pPr>
            <w:r>
              <w:rPr>
                <w:rFonts w:eastAsia="Times New Roman"/>
                <w:sz w:val="20"/>
                <w:szCs w:val="20"/>
              </w:rPr>
              <w:t>Amir Hai</w:t>
            </w:r>
          </w:p>
        </w:tc>
      </w:tr>
      <w:tr w:rsidR="002E45D6" w14:paraId="1040CD5C" w14:textId="77777777">
        <w:tc>
          <w:tcPr>
            <w:tcW w:w="0" w:type="auto"/>
            <w:vAlign w:val="bottom"/>
            <w:hideMark/>
          </w:tcPr>
          <w:p w14:paraId="69F75856" w14:textId="77777777" w:rsidR="002E45D6" w:rsidRDefault="002A73D2">
            <w:pPr>
              <w:rPr>
                <w:rFonts w:eastAsia="Times New Roman"/>
                <w:sz w:val="20"/>
                <w:szCs w:val="20"/>
              </w:rPr>
            </w:pPr>
            <w:r>
              <w:rPr>
                <w:rFonts w:eastAsia="Times New Roman"/>
                <w:sz w:val="20"/>
                <w:szCs w:val="20"/>
              </w:rPr>
              <w:t> </w:t>
            </w:r>
          </w:p>
        </w:tc>
        <w:tc>
          <w:tcPr>
            <w:tcW w:w="0" w:type="auto"/>
            <w:vAlign w:val="bottom"/>
            <w:hideMark/>
          </w:tcPr>
          <w:p w14:paraId="5104C813" w14:textId="77777777" w:rsidR="002E45D6" w:rsidRDefault="002A73D2">
            <w:pPr>
              <w:rPr>
                <w:rFonts w:eastAsia="Times New Roman"/>
                <w:sz w:val="20"/>
                <w:szCs w:val="20"/>
              </w:rPr>
            </w:pPr>
            <w:r>
              <w:rPr>
                <w:rFonts w:eastAsia="Times New Roman"/>
                <w:sz w:val="20"/>
                <w:szCs w:val="20"/>
              </w:rPr>
              <w:t> </w:t>
            </w:r>
          </w:p>
        </w:tc>
        <w:tc>
          <w:tcPr>
            <w:tcW w:w="0" w:type="auto"/>
            <w:vAlign w:val="bottom"/>
            <w:hideMark/>
          </w:tcPr>
          <w:p w14:paraId="3F7C678E" w14:textId="77777777" w:rsidR="002E45D6" w:rsidRDefault="002A73D2">
            <w:pPr>
              <w:rPr>
                <w:rFonts w:eastAsia="Times New Roman"/>
                <w:sz w:val="20"/>
                <w:szCs w:val="20"/>
              </w:rPr>
            </w:pPr>
            <w:r>
              <w:rPr>
                <w:rFonts w:eastAsia="Times New Roman"/>
                <w:sz w:val="20"/>
                <w:szCs w:val="20"/>
              </w:rPr>
              <w:t>Title:</w:t>
            </w:r>
          </w:p>
        </w:tc>
        <w:tc>
          <w:tcPr>
            <w:tcW w:w="0" w:type="auto"/>
            <w:vAlign w:val="bottom"/>
            <w:hideMark/>
          </w:tcPr>
          <w:p w14:paraId="229D8695" w14:textId="77777777" w:rsidR="002E45D6" w:rsidRDefault="002A73D2">
            <w:pPr>
              <w:rPr>
                <w:rFonts w:eastAsia="Times New Roman"/>
                <w:sz w:val="20"/>
                <w:szCs w:val="20"/>
              </w:rPr>
            </w:pPr>
            <w:r>
              <w:rPr>
                <w:rFonts w:eastAsia="Times New Roman"/>
                <w:sz w:val="20"/>
                <w:szCs w:val="20"/>
              </w:rPr>
              <w:t>Chief Financial Officer</w:t>
            </w:r>
          </w:p>
        </w:tc>
      </w:tr>
      <w:tr w:rsidR="002E45D6" w14:paraId="2C449F4A" w14:textId="77777777">
        <w:tc>
          <w:tcPr>
            <w:tcW w:w="0" w:type="auto"/>
            <w:vAlign w:val="bottom"/>
            <w:hideMark/>
          </w:tcPr>
          <w:p w14:paraId="211303FD" w14:textId="77777777" w:rsidR="002E45D6" w:rsidRDefault="002A73D2">
            <w:pPr>
              <w:rPr>
                <w:rFonts w:eastAsia="Times New Roman"/>
                <w:sz w:val="20"/>
                <w:szCs w:val="20"/>
              </w:rPr>
            </w:pPr>
            <w:r>
              <w:rPr>
                <w:rFonts w:eastAsia="Times New Roman"/>
                <w:sz w:val="20"/>
                <w:szCs w:val="20"/>
              </w:rPr>
              <w:t>Date: April 17, 2023</w:t>
            </w:r>
          </w:p>
        </w:tc>
        <w:tc>
          <w:tcPr>
            <w:tcW w:w="0" w:type="auto"/>
            <w:gridSpan w:val="2"/>
            <w:vAlign w:val="bottom"/>
            <w:hideMark/>
          </w:tcPr>
          <w:p w14:paraId="718CB1E9" w14:textId="77777777" w:rsidR="002E45D6" w:rsidRDefault="002A73D2">
            <w:pPr>
              <w:rPr>
                <w:rFonts w:eastAsia="Times New Roman"/>
                <w:sz w:val="20"/>
                <w:szCs w:val="20"/>
              </w:rPr>
            </w:pPr>
            <w:r>
              <w:rPr>
                <w:rFonts w:eastAsia="Times New Roman"/>
                <w:sz w:val="20"/>
                <w:szCs w:val="20"/>
              </w:rPr>
              <w:t> </w:t>
            </w:r>
          </w:p>
        </w:tc>
        <w:tc>
          <w:tcPr>
            <w:tcW w:w="0" w:type="auto"/>
            <w:vAlign w:val="bottom"/>
            <w:hideMark/>
          </w:tcPr>
          <w:p w14:paraId="3D922FE8" w14:textId="77777777" w:rsidR="002E45D6" w:rsidRDefault="002A73D2">
            <w:pPr>
              <w:rPr>
                <w:rFonts w:eastAsia="Times New Roman"/>
                <w:sz w:val="20"/>
                <w:szCs w:val="20"/>
              </w:rPr>
            </w:pPr>
            <w:r>
              <w:rPr>
                <w:rFonts w:eastAsia="Times New Roman"/>
                <w:sz w:val="20"/>
                <w:szCs w:val="20"/>
              </w:rPr>
              <w:t> </w:t>
            </w:r>
          </w:p>
        </w:tc>
      </w:tr>
    </w:tbl>
    <w:p w14:paraId="5F9FA2B6" w14:textId="77777777" w:rsidR="002E45D6" w:rsidRDefault="002A73D2">
      <w:pPr>
        <w:pStyle w:val="NormalWeb"/>
        <w:spacing w:before="0" w:beforeAutospacing="0" w:after="0" w:afterAutospacing="0"/>
        <w:rPr>
          <w:sz w:val="20"/>
          <w:szCs w:val="20"/>
        </w:rPr>
      </w:pPr>
      <w:r>
        <w:rPr>
          <w:sz w:val="20"/>
          <w:szCs w:val="20"/>
        </w:rPr>
        <w:t> </w:t>
      </w:r>
    </w:p>
    <w:p w14:paraId="0A320F3D" w14:textId="77777777" w:rsidR="002E45D6" w:rsidRDefault="002A73D2">
      <w:pPr>
        <w:pStyle w:val="NormalWeb"/>
        <w:spacing w:before="0" w:beforeAutospacing="0" w:after="0" w:afterAutospacing="0"/>
        <w:divId w:val="1205604828"/>
        <w:rPr>
          <w:sz w:val="20"/>
          <w:szCs w:val="20"/>
        </w:rPr>
      </w:pPr>
      <w:r>
        <w:rPr>
          <w:sz w:val="20"/>
          <w:szCs w:val="20"/>
        </w:rPr>
        <w:t> </w:t>
      </w:r>
    </w:p>
    <w:p w14:paraId="3D7F58F3" w14:textId="77777777" w:rsidR="002E45D6" w:rsidRDefault="002A73D2">
      <w:pPr>
        <w:pStyle w:val="NormalWeb"/>
        <w:spacing w:before="0" w:beforeAutospacing="0" w:after="0" w:afterAutospacing="0"/>
        <w:rPr>
          <w:sz w:val="20"/>
          <w:szCs w:val="20"/>
        </w:rPr>
      </w:pPr>
      <w:r>
        <w:rPr>
          <w:sz w:val="20"/>
          <w:szCs w:val="20"/>
        </w:rPr>
        <w:t> </w:t>
      </w:r>
    </w:p>
    <w:p w14:paraId="5984282F" w14:textId="77777777" w:rsidR="002E45D6" w:rsidRDefault="002A73D2">
      <w:pPr>
        <w:pStyle w:val="NormalWeb"/>
        <w:pageBreakBefore/>
        <w:spacing w:before="0" w:beforeAutospacing="0" w:after="0" w:afterAutospacing="0"/>
        <w:divId w:val="566185362"/>
        <w:rPr>
          <w:sz w:val="20"/>
          <w:szCs w:val="20"/>
        </w:rPr>
      </w:pPr>
      <w:r>
        <w:rPr>
          <w:sz w:val="20"/>
          <w:szCs w:val="20"/>
        </w:rPr>
        <w:lastRenderedPageBreak/>
        <w:t> </w:t>
      </w:r>
    </w:p>
    <w:p w14:paraId="3E067EF9" w14:textId="77777777" w:rsidR="002E45D6" w:rsidRDefault="002A73D2">
      <w:pPr>
        <w:pStyle w:val="NormalWeb"/>
        <w:spacing w:before="0" w:beforeAutospacing="0" w:after="0" w:afterAutospacing="0"/>
        <w:rPr>
          <w:sz w:val="20"/>
          <w:szCs w:val="20"/>
        </w:rPr>
      </w:pPr>
      <w:r>
        <w:rPr>
          <w:sz w:val="20"/>
          <w:szCs w:val="20"/>
        </w:rPr>
        <w:t> </w:t>
      </w:r>
    </w:p>
    <w:p w14:paraId="1A41DF84" w14:textId="77777777" w:rsidR="002E45D6" w:rsidRDefault="002A73D2">
      <w:pPr>
        <w:pStyle w:val="NormalWeb"/>
        <w:spacing w:before="0" w:beforeAutospacing="0" w:after="0" w:afterAutospacing="0"/>
        <w:jc w:val="right"/>
        <w:rPr>
          <w:sz w:val="20"/>
          <w:szCs w:val="20"/>
        </w:rPr>
      </w:pPr>
      <w:r>
        <w:rPr>
          <w:b/>
          <w:bCs/>
          <w:sz w:val="20"/>
          <w:szCs w:val="20"/>
        </w:rPr>
        <w:t>Exhibit 99.1</w:t>
      </w:r>
    </w:p>
    <w:p w14:paraId="6C28823F" w14:textId="77777777" w:rsidR="002E45D6" w:rsidRDefault="002A73D2">
      <w:pPr>
        <w:pStyle w:val="NormalWeb"/>
        <w:spacing w:before="0" w:beforeAutospacing="0" w:after="0" w:afterAutospacing="0"/>
        <w:rPr>
          <w:sz w:val="20"/>
          <w:szCs w:val="20"/>
        </w:rPr>
      </w:pPr>
      <w:r>
        <w:rPr>
          <w:sz w:val="20"/>
          <w:szCs w:val="20"/>
        </w:rPr>
        <w:t> </w:t>
      </w:r>
    </w:p>
    <w:p w14:paraId="6919AD09" w14:textId="77777777" w:rsidR="002E45D6" w:rsidRDefault="002A73D2">
      <w:pPr>
        <w:pStyle w:val="NormalWeb"/>
        <w:spacing w:before="0" w:beforeAutospacing="0" w:after="0" w:afterAutospacing="0"/>
        <w:rPr>
          <w:sz w:val="20"/>
          <w:szCs w:val="20"/>
        </w:rPr>
      </w:pPr>
      <w:r>
        <w:rPr>
          <w:noProof/>
          <w:sz w:val="20"/>
          <w:szCs w:val="20"/>
        </w:rPr>
        <w:drawing>
          <wp:inline distT="0" distB="0" distL="0" distR="0" wp14:anchorId="1FDE5BD9" wp14:editId="30765745">
            <wp:extent cx="91440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14400" cy="480060"/>
                    </a:xfrm>
                    <a:prstGeom prst="rect">
                      <a:avLst/>
                    </a:prstGeom>
                    <a:noFill/>
                    <a:ln>
                      <a:noFill/>
                    </a:ln>
                  </pic:spPr>
                </pic:pic>
              </a:graphicData>
            </a:graphic>
          </wp:inline>
        </w:drawing>
      </w:r>
      <w:r>
        <w:rPr>
          <w:sz w:val="20"/>
          <w:szCs w:val="20"/>
        </w:rPr>
        <w:t> </w:t>
      </w:r>
    </w:p>
    <w:p w14:paraId="19101FBE" w14:textId="77777777" w:rsidR="002E45D6" w:rsidRDefault="002A73D2">
      <w:pPr>
        <w:pStyle w:val="NormalWeb"/>
        <w:spacing w:before="0" w:beforeAutospacing="0" w:after="0" w:afterAutospacing="0"/>
        <w:jc w:val="both"/>
        <w:rPr>
          <w:sz w:val="20"/>
          <w:szCs w:val="20"/>
        </w:rPr>
      </w:pPr>
      <w:r>
        <w:rPr>
          <w:sz w:val="20"/>
          <w:szCs w:val="20"/>
        </w:rPr>
        <w:t> </w:t>
      </w:r>
    </w:p>
    <w:p w14:paraId="1A9E7DF7" w14:textId="77777777" w:rsidR="002E45D6" w:rsidRDefault="002A73D2">
      <w:pPr>
        <w:pStyle w:val="NormalWeb"/>
        <w:spacing w:before="0" w:beforeAutospacing="0" w:after="0" w:afterAutospacing="0"/>
        <w:rPr>
          <w:sz w:val="20"/>
          <w:szCs w:val="20"/>
        </w:rPr>
      </w:pPr>
      <w:r>
        <w:rPr>
          <w:sz w:val="20"/>
          <w:szCs w:val="20"/>
        </w:rPr>
        <w:t xml:space="preserve">Press release </w:t>
      </w:r>
    </w:p>
    <w:p w14:paraId="4D531A36" w14:textId="77777777" w:rsidR="002E45D6" w:rsidRDefault="002A73D2">
      <w:pPr>
        <w:pStyle w:val="NormalWeb"/>
        <w:spacing w:before="0" w:beforeAutospacing="0" w:after="0" w:afterAutospacing="0"/>
        <w:rPr>
          <w:sz w:val="20"/>
          <w:szCs w:val="20"/>
        </w:rPr>
      </w:pPr>
      <w:r>
        <w:rPr>
          <w:sz w:val="20"/>
          <w:szCs w:val="20"/>
        </w:rPr>
        <w:t> </w:t>
      </w:r>
    </w:p>
    <w:p w14:paraId="08216D47" w14:textId="77777777" w:rsidR="002E45D6" w:rsidRDefault="002A73D2">
      <w:pPr>
        <w:pStyle w:val="NormalWeb"/>
        <w:spacing w:before="0" w:beforeAutospacing="0" w:after="0" w:afterAutospacing="0"/>
        <w:jc w:val="both"/>
        <w:rPr>
          <w:sz w:val="20"/>
          <w:szCs w:val="20"/>
        </w:rPr>
      </w:pPr>
      <w:r>
        <w:rPr>
          <w:sz w:val="20"/>
          <w:szCs w:val="20"/>
        </w:rPr>
        <w:t>Ad-hoc announcement pursuant to Art. 53 LR</w:t>
      </w:r>
    </w:p>
    <w:p w14:paraId="0569E03D" w14:textId="77777777" w:rsidR="002E45D6" w:rsidRDefault="002A73D2">
      <w:pPr>
        <w:pStyle w:val="NormalWeb"/>
        <w:spacing w:before="0" w:beforeAutospacing="0" w:after="0" w:afterAutospacing="0"/>
        <w:rPr>
          <w:color w:val="262626"/>
          <w:sz w:val="20"/>
          <w:szCs w:val="20"/>
        </w:rPr>
      </w:pPr>
      <w:r>
        <w:rPr>
          <w:color w:val="262626"/>
          <w:sz w:val="20"/>
          <w:szCs w:val="20"/>
        </w:rPr>
        <w:t> </w:t>
      </w:r>
    </w:p>
    <w:p w14:paraId="49CC346A" w14:textId="77777777" w:rsidR="002E45D6" w:rsidRDefault="002A73D2">
      <w:pPr>
        <w:pStyle w:val="NormalWeb"/>
        <w:spacing w:before="0" w:beforeAutospacing="0" w:after="0" w:afterAutospacing="0"/>
        <w:rPr>
          <w:color w:val="262626"/>
          <w:sz w:val="20"/>
          <w:szCs w:val="20"/>
        </w:rPr>
      </w:pPr>
      <w:r>
        <w:rPr>
          <w:b/>
          <w:bCs/>
          <w:color w:val="262626"/>
          <w:sz w:val="20"/>
          <w:szCs w:val="20"/>
        </w:rPr>
        <w:t>SHL Telemedicine publishes its Annual Report on 11 May 2023</w:t>
      </w:r>
    </w:p>
    <w:p w14:paraId="3A039F73" w14:textId="77777777" w:rsidR="002E45D6" w:rsidRDefault="002A73D2">
      <w:pPr>
        <w:pStyle w:val="NormalWeb"/>
        <w:spacing w:before="0" w:beforeAutospacing="0" w:after="0" w:afterAutospacing="0"/>
        <w:rPr>
          <w:color w:val="262626"/>
          <w:sz w:val="20"/>
          <w:szCs w:val="20"/>
        </w:rPr>
      </w:pPr>
      <w:r>
        <w:rPr>
          <w:color w:val="262626"/>
          <w:sz w:val="20"/>
          <w:szCs w:val="20"/>
        </w:rPr>
        <w:t> </w:t>
      </w:r>
    </w:p>
    <w:p w14:paraId="3808C98E" w14:textId="77777777" w:rsidR="002E45D6" w:rsidRDefault="002A73D2">
      <w:pPr>
        <w:pStyle w:val="NormalWeb"/>
        <w:spacing w:before="0" w:beforeAutospacing="0" w:after="0" w:afterAutospacing="0"/>
        <w:jc w:val="both"/>
        <w:rPr>
          <w:sz w:val="20"/>
          <w:szCs w:val="20"/>
        </w:rPr>
      </w:pPr>
      <w:r>
        <w:rPr>
          <w:b/>
          <w:bCs/>
          <w:sz w:val="20"/>
          <w:szCs w:val="20"/>
        </w:rPr>
        <w:t xml:space="preserve">Tel Aviv / Zurich / New York, 17 April, 2023 – </w:t>
      </w:r>
      <w:r>
        <w:rPr>
          <w:sz w:val="20"/>
          <w:szCs w:val="20"/>
        </w:rPr>
        <w:t>SHL Telemedicine Ltd. (SIX Swiss Exchange: SHLTN; NASDAQ: SHLT) (“</w:t>
      </w:r>
      <w:r>
        <w:rPr>
          <w:b/>
          <w:bCs/>
          <w:sz w:val="20"/>
          <w:szCs w:val="20"/>
        </w:rPr>
        <w:t>SHL</w:t>
      </w:r>
      <w:r>
        <w:rPr>
          <w:sz w:val="20"/>
          <w:szCs w:val="20"/>
        </w:rPr>
        <w:t>” or the “</w:t>
      </w:r>
      <w:r>
        <w:rPr>
          <w:b/>
          <w:bCs/>
          <w:sz w:val="20"/>
          <w:szCs w:val="20"/>
        </w:rPr>
        <w:t>Company</w:t>
      </w:r>
      <w:r>
        <w:rPr>
          <w:sz w:val="20"/>
          <w:szCs w:val="20"/>
        </w:rPr>
        <w:t xml:space="preserve">”), a leading provider and developer of advanced personal telemedicine solutions, </w:t>
      </w:r>
      <w:r>
        <w:rPr>
          <w:color w:val="262626"/>
          <w:sz w:val="20"/>
          <w:szCs w:val="20"/>
        </w:rPr>
        <w:t xml:space="preserve">announced today that it has been granted </w:t>
      </w:r>
      <w:r>
        <w:rPr>
          <w:color w:val="262626"/>
          <w:sz w:val="20"/>
          <w:szCs w:val="20"/>
        </w:rPr>
        <w:t>an extension of the deadline to publish and file its Annual Report for the fiscal year 2022 by the SIX Exchange Regulation (SER) and will publish and file it on 11 May 2023.</w:t>
      </w:r>
    </w:p>
    <w:p w14:paraId="44293111" w14:textId="77777777" w:rsidR="002E45D6" w:rsidRDefault="002A73D2">
      <w:pPr>
        <w:pStyle w:val="NormalWeb"/>
        <w:spacing w:before="0" w:beforeAutospacing="0" w:after="0" w:afterAutospacing="0"/>
        <w:jc w:val="both"/>
        <w:rPr>
          <w:color w:val="262626"/>
          <w:sz w:val="20"/>
          <w:szCs w:val="20"/>
        </w:rPr>
      </w:pPr>
      <w:r>
        <w:rPr>
          <w:color w:val="262626"/>
          <w:sz w:val="20"/>
          <w:szCs w:val="20"/>
        </w:rPr>
        <w:t> </w:t>
      </w:r>
    </w:p>
    <w:p w14:paraId="7B4C22E7" w14:textId="77777777" w:rsidR="002E45D6" w:rsidRDefault="002A73D2">
      <w:pPr>
        <w:pStyle w:val="NormalWeb"/>
        <w:spacing w:before="0" w:beforeAutospacing="0" w:after="0" w:afterAutospacing="0"/>
        <w:jc w:val="both"/>
        <w:rPr>
          <w:color w:val="262626"/>
          <w:sz w:val="20"/>
          <w:szCs w:val="20"/>
        </w:rPr>
      </w:pPr>
      <w:r>
        <w:rPr>
          <w:color w:val="262626"/>
          <w:sz w:val="20"/>
          <w:szCs w:val="20"/>
        </w:rPr>
        <w:t>As announced, SHL has recently listed ADRs on Nasdaq. The preparation of the Com</w:t>
      </w:r>
      <w:r>
        <w:rPr>
          <w:color w:val="262626"/>
          <w:sz w:val="20"/>
          <w:szCs w:val="20"/>
        </w:rPr>
        <w:t xml:space="preserve">pany’s Registration Statement on Form 20-F in connection with its registration under the Securities Exchange Act of 1934 and the listing of </w:t>
      </w:r>
      <w:proofErr w:type="gramStart"/>
      <w:r>
        <w:rPr>
          <w:color w:val="262626"/>
          <w:sz w:val="20"/>
          <w:szCs w:val="20"/>
        </w:rPr>
        <w:t>ADR’s</w:t>
      </w:r>
      <w:proofErr w:type="gramEnd"/>
      <w:r>
        <w:rPr>
          <w:color w:val="262626"/>
          <w:sz w:val="20"/>
          <w:szCs w:val="20"/>
        </w:rPr>
        <w:t xml:space="preserve"> on the NASDAQ Capital Market, which was completed on 3 April 2023, significantly delayed the preparation of th</w:t>
      </w:r>
      <w:r>
        <w:rPr>
          <w:color w:val="262626"/>
          <w:sz w:val="20"/>
          <w:szCs w:val="20"/>
        </w:rPr>
        <w:t>e Company’s year-end financial reporting. The additional time will allow the Company to finalize its Annual Report.</w:t>
      </w:r>
    </w:p>
    <w:p w14:paraId="32E3EDEE" w14:textId="77777777" w:rsidR="002E45D6" w:rsidRDefault="002A73D2">
      <w:pPr>
        <w:pStyle w:val="NormalWeb"/>
        <w:spacing w:before="0" w:beforeAutospacing="0" w:after="0" w:afterAutospacing="0"/>
        <w:jc w:val="both"/>
        <w:rPr>
          <w:color w:val="262626"/>
          <w:sz w:val="20"/>
          <w:szCs w:val="20"/>
        </w:rPr>
      </w:pPr>
      <w:r>
        <w:rPr>
          <w:color w:val="262626"/>
          <w:sz w:val="20"/>
          <w:szCs w:val="20"/>
        </w:rPr>
        <w:t> </w:t>
      </w:r>
    </w:p>
    <w:p w14:paraId="6D2BA098" w14:textId="77777777" w:rsidR="002E45D6" w:rsidRDefault="002A73D2">
      <w:pPr>
        <w:pStyle w:val="NormalWeb"/>
        <w:spacing w:before="0" w:beforeAutospacing="0" w:after="0" w:afterAutospacing="0"/>
        <w:jc w:val="both"/>
        <w:rPr>
          <w:color w:val="262626"/>
          <w:sz w:val="20"/>
          <w:szCs w:val="20"/>
        </w:rPr>
      </w:pPr>
      <w:r>
        <w:rPr>
          <w:color w:val="262626"/>
          <w:sz w:val="20"/>
          <w:szCs w:val="20"/>
        </w:rPr>
        <w:t>In accordance with the decision of SER, the Company publishes the following part of its decision dated 14 April 2023:</w:t>
      </w:r>
    </w:p>
    <w:p w14:paraId="3DBCDEF4" w14:textId="77777777" w:rsidR="002E45D6" w:rsidRDefault="002A73D2">
      <w:pPr>
        <w:pStyle w:val="NormalWeb"/>
        <w:spacing w:before="0" w:beforeAutospacing="0" w:after="0" w:afterAutospacing="0"/>
        <w:jc w:val="both"/>
        <w:rPr>
          <w:color w:val="262626"/>
          <w:sz w:val="20"/>
          <w:szCs w:val="20"/>
        </w:rPr>
      </w:pPr>
      <w:r>
        <w:rPr>
          <w:color w:val="262626"/>
          <w:sz w:val="20"/>
          <w:szCs w:val="20"/>
        </w:rPr>
        <w:t> </w:t>
      </w:r>
    </w:p>
    <w:p w14:paraId="11C21AAC" w14:textId="77777777" w:rsidR="002E45D6" w:rsidRDefault="002A73D2">
      <w:pPr>
        <w:pStyle w:val="NormalWeb"/>
        <w:spacing w:before="0" w:beforeAutospacing="0" w:after="0" w:afterAutospacing="0"/>
        <w:jc w:val="both"/>
        <w:rPr>
          <w:color w:val="262626"/>
          <w:sz w:val="20"/>
          <w:szCs w:val="20"/>
        </w:rPr>
      </w:pPr>
      <w:r>
        <w:rPr>
          <w:color w:val="262626"/>
          <w:sz w:val="20"/>
          <w:szCs w:val="20"/>
        </w:rPr>
        <w:t xml:space="preserve">“I. The exemption </w:t>
      </w:r>
      <w:r>
        <w:rPr>
          <w:color w:val="262626"/>
          <w:sz w:val="20"/>
          <w:szCs w:val="20"/>
        </w:rPr>
        <w:t>application of SHL Telemedicine Ltd. (SHL or Issuer) dated 12 April 2023 requesting an extension of the deadline to publish its 2022 annual report and to file such report with SIX Exchange Regulation AG until 31 May 2023 at the latest is granted with the f</w:t>
      </w:r>
      <w:r>
        <w:rPr>
          <w:color w:val="262626"/>
          <w:sz w:val="20"/>
          <w:szCs w:val="20"/>
        </w:rPr>
        <w:t>ollowing reservation (lit. a) and under the following conditions (lit. b):</w:t>
      </w:r>
    </w:p>
    <w:p w14:paraId="5E85FEC4" w14:textId="77777777" w:rsidR="002E45D6" w:rsidRDefault="002A73D2">
      <w:pPr>
        <w:pStyle w:val="NormalWeb"/>
        <w:spacing w:before="0" w:beforeAutospacing="0" w:after="0" w:afterAutospacing="0"/>
        <w:jc w:val="both"/>
        <w:rPr>
          <w:color w:val="262626"/>
          <w:sz w:val="20"/>
          <w:szCs w:val="20"/>
        </w:rPr>
      </w:pPr>
      <w:r>
        <w:rPr>
          <w:color w:val="262626"/>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rsidR="002E45D6" w14:paraId="370D1627" w14:textId="77777777">
        <w:trPr>
          <w:tblCellSpacing w:w="0" w:type="dxa"/>
        </w:trPr>
        <w:tc>
          <w:tcPr>
            <w:tcW w:w="6" w:type="dxa"/>
            <w:hideMark/>
          </w:tcPr>
          <w:p w14:paraId="558B8D94" w14:textId="77777777" w:rsidR="002E45D6" w:rsidRDefault="002E45D6">
            <w:pPr>
              <w:rPr>
                <w:color w:val="262626"/>
                <w:sz w:val="20"/>
                <w:szCs w:val="20"/>
              </w:rPr>
            </w:pPr>
          </w:p>
        </w:tc>
        <w:tc>
          <w:tcPr>
            <w:tcW w:w="360" w:type="dxa"/>
            <w:hideMark/>
          </w:tcPr>
          <w:p w14:paraId="65C34194" w14:textId="77777777" w:rsidR="002E45D6" w:rsidRDefault="002A73D2">
            <w:pPr>
              <w:rPr>
                <w:rFonts w:eastAsia="Times New Roman"/>
                <w:color w:val="262626"/>
                <w:sz w:val="20"/>
                <w:szCs w:val="20"/>
              </w:rPr>
            </w:pPr>
            <w:r>
              <w:rPr>
                <w:rFonts w:eastAsia="Times New Roman"/>
                <w:color w:val="262626"/>
                <w:sz w:val="20"/>
                <w:szCs w:val="20"/>
              </w:rPr>
              <w:t>a.</w:t>
            </w:r>
          </w:p>
        </w:tc>
        <w:tc>
          <w:tcPr>
            <w:tcW w:w="0" w:type="auto"/>
            <w:hideMark/>
          </w:tcPr>
          <w:p w14:paraId="0EB7AA4D" w14:textId="77777777" w:rsidR="002E45D6" w:rsidRDefault="002A73D2">
            <w:pPr>
              <w:jc w:val="both"/>
              <w:rPr>
                <w:rFonts w:eastAsia="Times New Roman"/>
                <w:color w:val="262626"/>
                <w:sz w:val="20"/>
                <w:szCs w:val="20"/>
              </w:rPr>
            </w:pPr>
            <w:r>
              <w:rPr>
                <w:rFonts w:eastAsia="Times New Roman"/>
                <w:color w:val="262626"/>
                <w:sz w:val="20"/>
                <w:szCs w:val="20"/>
              </w:rPr>
              <w:t xml:space="preserve">SIX Exchange Regulation AG reserves the right to suspend trading of the registered shares of the Issuer in case its 2022 annual report is not published in accordance with the </w:t>
            </w:r>
            <w:r>
              <w:rPr>
                <w:rFonts w:eastAsia="Times New Roman"/>
                <w:color w:val="262626"/>
                <w:sz w:val="20"/>
                <w:szCs w:val="20"/>
              </w:rPr>
              <w:t>provisions on ad hoc publicity (Art. 53 of the Listing Rules [LR] in connection with the Directive on Ad hoc Publicity [DAH]) and not filed with SIX Exchange Regulation AG until Wednesday, 31 May 2023, 11.59 pm CET, at the latest.</w:t>
            </w:r>
          </w:p>
        </w:tc>
      </w:tr>
    </w:tbl>
    <w:p w14:paraId="0C17A944" w14:textId="77777777" w:rsidR="002E45D6" w:rsidRDefault="002A73D2">
      <w:pPr>
        <w:pStyle w:val="NormalWeb"/>
        <w:spacing w:before="0" w:beforeAutospacing="0" w:after="0" w:afterAutospacing="0"/>
        <w:ind w:left="360"/>
        <w:jc w:val="both"/>
        <w:rPr>
          <w:color w:val="262626"/>
          <w:sz w:val="20"/>
          <w:szCs w:val="20"/>
        </w:rPr>
      </w:pPr>
      <w:r>
        <w:rPr>
          <w:color w:val="262626"/>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rsidR="002E45D6" w14:paraId="64302E1F" w14:textId="77777777">
        <w:trPr>
          <w:tblCellSpacing w:w="0" w:type="dxa"/>
        </w:trPr>
        <w:tc>
          <w:tcPr>
            <w:tcW w:w="6" w:type="dxa"/>
            <w:hideMark/>
          </w:tcPr>
          <w:p w14:paraId="02C55A0B" w14:textId="77777777" w:rsidR="002E45D6" w:rsidRDefault="002E45D6">
            <w:pPr>
              <w:rPr>
                <w:color w:val="262626"/>
                <w:sz w:val="20"/>
                <w:szCs w:val="20"/>
              </w:rPr>
            </w:pPr>
          </w:p>
        </w:tc>
        <w:tc>
          <w:tcPr>
            <w:tcW w:w="360" w:type="dxa"/>
            <w:hideMark/>
          </w:tcPr>
          <w:p w14:paraId="681BFE48" w14:textId="77777777" w:rsidR="002E45D6" w:rsidRDefault="002A73D2">
            <w:pPr>
              <w:rPr>
                <w:rFonts w:eastAsia="Times New Roman"/>
                <w:color w:val="262626"/>
                <w:sz w:val="20"/>
                <w:szCs w:val="20"/>
              </w:rPr>
            </w:pPr>
            <w:r>
              <w:rPr>
                <w:rFonts w:eastAsia="Times New Roman"/>
                <w:color w:val="262626"/>
                <w:sz w:val="20"/>
                <w:szCs w:val="20"/>
              </w:rPr>
              <w:t>b.</w:t>
            </w:r>
          </w:p>
        </w:tc>
        <w:tc>
          <w:tcPr>
            <w:tcW w:w="0" w:type="auto"/>
            <w:hideMark/>
          </w:tcPr>
          <w:p w14:paraId="14F70965" w14:textId="77777777" w:rsidR="002E45D6" w:rsidRDefault="002A73D2">
            <w:pPr>
              <w:jc w:val="both"/>
              <w:rPr>
                <w:rFonts w:eastAsia="Times New Roman"/>
                <w:color w:val="262626"/>
                <w:sz w:val="20"/>
                <w:szCs w:val="20"/>
              </w:rPr>
            </w:pPr>
            <w:r>
              <w:rPr>
                <w:rFonts w:eastAsia="Times New Roman"/>
                <w:color w:val="262626"/>
                <w:sz w:val="20"/>
                <w:szCs w:val="20"/>
              </w:rPr>
              <w:t xml:space="preserve">SHL is </w:t>
            </w:r>
            <w:r>
              <w:rPr>
                <w:rFonts w:eastAsia="Times New Roman"/>
                <w:color w:val="262626"/>
                <w:sz w:val="20"/>
                <w:szCs w:val="20"/>
              </w:rPr>
              <w:t xml:space="preserve">required to publish a notice in accordance with the provisions on ad hoc publicity (art. 53 LR in connection with the DAH) concerning this decision </w:t>
            </w:r>
            <w:proofErr w:type="gramStart"/>
            <w:r>
              <w:rPr>
                <w:rFonts w:eastAsia="Times New Roman"/>
                <w:color w:val="262626"/>
                <w:sz w:val="20"/>
                <w:szCs w:val="20"/>
              </w:rPr>
              <w:t>until</w:t>
            </w:r>
            <w:proofErr w:type="gramEnd"/>
            <w:r>
              <w:rPr>
                <w:rFonts w:eastAsia="Times New Roman"/>
                <w:color w:val="262626"/>
                <w:sz w:val="20"/>
                <w:szCs w:val="20"/>
              </w:rPr>
              <w:t xml:space="preserve"> Monday, 17 April 2023, 7.30 am CET, at the latest. The notice must contain:</w:t>
            </w:r>
          </w:p>
        </w:tc>
      </w:tr>
    </w:tbl>
    <w:p w14:paraId="27665193" w14:textId="77777777" w:rsidR="002E45D6" w:rsidRDefault="002E45D6">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2E45D6" w14:paraId="6122CF24" w14:textId="77777777">
        <w:trPr>
          <w:tblCellSpacing w:w="0" w:type="dxa"/>
        </w:trPr>
        <w:tc>
          <w:tcPr>
            <w:tcW w:w="360" w:type="dxa"/>
            <w:hideMark/>
          </w:tcPr>
          <w:p w14:paraId="1B5446FA" w14:textId="77777777" w:rsidR="002E45D6" w:rsidRDefault="002E45D6">
            <w:pPr>
              <w:rPr>
                <w:rFonts w:eastAsia="Times New Roman"/>
                <w:sz w:val="20"/>
                <w:szCs w:val="20"/>
              </w:rPr>
            </w:pPr>
          </w:p>
        </w:tc>
        <w:tc>
          <w:tcPr>
            <w:tcW w:w="360" w:type="dxa"/>
            <w:hideMark/>
          </w:tcPr>
          <w:p w14:paraId="0B339EBE" w14:textId="77777777" w:rsidR="002E45D6" w:rsidRDefault="002A73D2">
            <w:pPr>
              <w:rPr>
                <w:rFonts w:eastAsia="Times New Roman"/>
                <w:color w:val="262626"/>
                <w:sz w:val="20"/>
                <w:szCs w:val="20"/>
              </w:rPr>
            </w:pPr>
            <w:r>
              <w:rPr>
                <w:rFonts w:ascii="Symbol" w:eastAsia="Times New Roman" w:hAnsi="Symbol"/>
                <w:color w:val="262626"/>
                <w:sz w:val="20"/>
                <w:szCs w:val="20"/>
              </w:rPr>
              <w:t>-</w:t>
            </w:r>
          </w:p>
        </w:tc>
        <w:tc>
          <w:tcPr>
            <w:tcW w:w="0" w:type="auto"/>
            <w:hideMark/>
          </w:tcPr>
          <w:p w14:paraId="565DA228" w14:textId="77777777" w:rsidR="002E45D6" w:rsidRDefault="002A73D2">
            <w:pPr>
              <w:jc w:val="both"/>
              <w:rPr>
                <w:rFonts w:eastAsia="Times New Roman"/>
                <w:color w:val="262626"/>
                <w:sz w:val="20"/>
                <w:szCs w:val="20"/>
              </w:rPr>
            </w:pPr>
            <w:r>
              <w:rPr>
                <w:rFonts w:eastAsia="Times New Roman"/>
                <w:color w:val="262626"/>
                <w:sz w:val="20"/>
                <w:szCs w:val="20"/>
              </w:rPr>
              <w:t xml:space="preserve">the </w:t>
            </w:r>
            <w:r>
              <w:rPr>
                <w:rFonts w:eastAsia="Times New Roman"/>
                <w:color w:val="262626"/>
                <w:sz w:val="20"/>
                <w:szCs w:val="20"/>
              </w:rPr>
              <w:t>unaltered reproduction of the wording of para. I. of this decision, placed in a prominent position;</w:t>
            </w:r>
          </w:p>
        </w:tc>
      </w:tr>
    </w:tbl>
    <w:p w14:paraId="0F718687" w14:textId="77777777" w:rsidR="002E45D6" w:rsidRDefault="002E45D6">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2E45D6" w14:paraId="3A6F3707" w14:textId="77777777">
        <w:trPr>
          <w:tblCellSpacing w:w="0" w:type="dxa"/>
        </w:trPr>
        <w:tc>
          <w:tcPr>
            <w:tcW w:w="360" w:type="dxa"/>
            <w:hideMark/>
          </w:tcPr>
          <w:p w14:paraId="1142927B" w14:textId="77777777" w:rsidR="002E45D6" w:rsidRDefault="002E45D6">
            <w:pPr>
              <w:rPr>
                <w:rFonts w:eastAsia="Times New Roman"/>
                <w:sz w:val="20"/>
                <w:szCs w:val="20"/>
              </w:rPr>
            </w:pPr>
          </w:p>
        </w:tc>
        <w:tc>
          <w:tcPr>
            <w:tcW w:w="360" w:type="dxa"/>
            <w:hideMark/>
          </w:tcPr>
          <w:p w14:paraId="41FA3D51" w14:textId="77777777" w:rsidR="002E45D6" w:rsidRDefault="002A73D2">
            <w:pPr>
              <w:rPr>
                <w:rFonts w:eastAsia="Times New Roman"/>
                <w:color w:val="262626"/>
                <w:sz w:val="20"/>
                <w:szCs w:val="20"/>
              </w:rPr>
            </w:pPr>
            <w:r>
              <w:rPr>
                <w:rFonts w:ascii="Symbol" w:eastAsia="Times New Roman" w:hAnsi="Symbol"/>
                <w:color w:val="262626"/>
                <w:sz w:val="20"/>
                <w:szCs w:val="20"/>
              </w:rPr>
              <w:t>-</w:t>
            </w:r>
          </w:p>
        </w:tc>
        <w:tc>
          <w:tcPr>
            <w:tcW w:w="0" w:type="auto"/>
            <w:hideMark/>
          </w:tcPr>
          <w:p w14:paraId="380F34F4" w14:textId="77777777" w:rsidR="002E45D6" w:rsidRDefault="002A73D2">
            <w:pPr>
              <w:jc w:val="both"/>
              <w:rPr>
                <w:rFonts w:eastAsia="Times New Roman"/>
                <w:color w:val="262626"/>
                <w:sz w:val="20"/>
                <w:szCs w:val="20"/>
              </w:rPr>
            </w:pPr>
            <w:r>
              <w:rPr>
                <w:rFonts w:eastAsia="Times New Roman"/>
                <w:color w:val="262626"/>
                <w:sz w:val="20"/>
                <w:szCs w:val="20"/>
              </w:rPr>
              <w:t>the reasons for the application of the Issuer requesting an extension of the deadline to publish its 2022 annual report and to file such report with SI</w:t>
            </w:r>
            <w:r>
              <w:rPr>
                <w:rFonts w:eastAsia="Times New Roman"/>
                <w:color w:val="262626"/>
                <w:sz w:val="20"/>
                <w:szCs w:val="20"/>
              </w:rPr>
              <w:t>X Exchange Regulation AG.”</w:t>
            </w:r>
          </w:p>
        </w:tc>
      </w:tr>
    </w:tbl>
    <w:p w14:paraId="579EDED5" w14:textId="77777777" w:rsidR="002E45D6" w:rsidRDefault="002A73D2">
      <w:pPr>
        <w:pStyle w:val="NormalWeb"/>
        <w:spacing w:before="0" w:beforeAutospacing="0" w:after="0" w:afterAutospacing="0"/>
        <w:jc w:val="both"/>
        <w:rPr>
          <w:color w:val="262626"/>
          <w:sz w:val="20"/>
          <w:szCs w:val="20"/>
        </w:rPr>
      </w:pPr>
      <w:r>
        <w:rPr>
          <w:color w:val="262626"/>
          <w:sz w:val="20"/>
          <w:szCs w:val="20"/>
        </w:rPr>
        <w:t> </w:t>
      </w:r>
    </w:p>
    <w:p w14:paraId="04D782AD" w14:textId="77777777" w:rsidR="002E45D6" w:rsidRDefault="002A73D2">
      <w:pPr>
        <w:pStyle w:val="NormalWeb"/>
        <w:spacing w:before="0" w:beforeAutospacing="0" w:after="0" w:afterAutospacing="0"/>
        <w:rPr>
          <w:sz w:val="20"/>
          <w:szCs w:val="20"/>
        </w:rPr>
      </w:pPr>
      <w:r>
        <w:rPr>
          <w:b/>
          <w:bCs/>
          <w:sz w:val="20"/>
          <w:szCs w:val="20"/>
        </w:rPr>
        <w:t>For further information please contact:</w:t>
      </w:r>
    </w:p>
    <w:p w14:paraId="5ABCCC89" w14:textId="77777777" w:rsidR="002E45D6" w:rsidRDefault="002A73D2">
      <w:pPr>
        <w:pStyle w:val="NormalWeb"/>
        <w:spacing w:before="0" w:beforeAutospacing="0" w:after="0" w:afterAutospacing="0"/>
        <w:rPr>
          <w:sz w:val="20"/>
          <w:szCs w:val="20"/>
        </w:rPr>
      </w:pPr>
      <w:r>
        <w:rPr>
          <w:sz w:val="20"/>
          <w:szCs w:val="20"/>
        </w:rPr>
        <w:t> </w:t>
      </w:r>
    </w:p>
    <w:p w14:paraId="17FF8B9F" w14:textId="77777777" w:rsidR="002E45D6" w:rsidRDefault="002A73D2">
      <w:pPr>
        <w:pStyle w:val="NormalWeb"/>
        <w:spacing w:before="0" w:beforeAutospacing="0" w:after="0" w:afterAutospacing="0"/>
        <w:rPr>
          <w:sz w:val="20"/>
          <w:szCs w:val="20"/>
        </w:rPr>
      </w:pPr>
      <w:r>
        <w:rPr>
          <w:sz w:val="20"/>
          <w:szCs w:val="20"/>
        </w:rPr>
        <w:t xml:space="preserve">Fabienne </w:t>
      </w:r>
      <w:proofErr w:type="spellStart"/>
      <w:r>
        <w:rPr>
          <w:sz w:val="20"/>
          <w:szCs w:val="20"/>
        </w:rPr>
        <w:t>Farner</w:t>
      </w:r>
      <w:proofErr w:type="spellEnd"/>
      <w:r>
        <w:rPr>
          <w:sz w:val="20"/>
          <w:szCs w:val="20"/>
        </w:rPr>
        <w:t xml:space="preserve">, IRF, </w:t>
      </w:r>
      <w:proofErr w:type="gramStart"/>
      <w:r>
        <w:rPr>
          <w:sz w:val="20"/>
          <w:szCs w:val="20"/>
        </w:rPr>
        <w:t>Phone :</w:t>
      </w:r>
      <w:proofErr w:type="gramEnd"/>
      <w:r>
        <w:rPr>
          <w:sz w:val="20"/>
          <w:szCs w:val="20"/>
        </w:rPr>
        <w:t xml:space="preserve"> +41 43 244 81 42, </w:t>
      </w:r>
      <w:r>
        <w:rPr>
          <w:sz w:val="20"/>
          <w:szCs w:val="20"/>
          <w:u w:val="single"/>
        </w:rPr>
        <w:t>farner@irf-reputation.ch</w:t>
      </w:r>
    </w:p>
    <w:p w14:paraId="419C2329" w14:textId="77777777" w:rsidR="002E45D6" w:rsidRDefault="002A73D2">
      <w:pPr>
        <w:pStyle w:val="NormalWeb"/>
        <w:spacing w:before="0" w:beforeAutospacing="0" w:after="0" w:afterAutospacing="0"/>
        <w:rPr>
          <w:sz w:val="20"/>
          <w:szCs w:val="20"/>
        </w:rPr>
      </w:pPr>
      <w:r>
        <w:rPr>
          <w:sz w:val="20"/>
          <w:szCs w:val="20"/>
        </w:rPr>
        <w:t> </w:t>
      </w:r>
    </w:p>
    <w:p w14:paraId="1DFDB1EA" w14:textId="77777777" w:rsidR="002E45D6" w:rsidRDefault="002A73D2">
      <w:pPr>
        <w:pStyle w:val="NormalWeb"/>
        <w:spacing w:before="0" w:beforeAutospacing="0" w:after="0" w:afterAutospacing="0"/>
        <w:rPr>
          <w:sz w:val="20"/>
          <w:szCs w:val="20"/>
        </w:rPr>
      </w:pPr>
      <w:r>
        <w:rPr>
          <w:b/>
          <w:bCs/>
          <w:sz w:val="20"/>
          <w:szCs w:val="20"/>
        </w:rPr>
        <w:t xml:space="preserve">About SHL Telemedicine </w:t>
      </w:r>
    </w:p>
    <w:p w14:paraId="289F2591" w14:textId="77777777" w:rsidR="002E45D6" w:rsidRDefault="002A73D2">
      <w:pPr>
        <w:pStyle w:val="NormalWeb"/>
        <w:spacing w:before="0" w:beforeAutospacing="0" w:after="0" w:afterAutospacing="0"/>
        <w:rPr>
          <w:sz w:val="20"/>
          <w:szCs w:val="20"/>
        </w:rPr>
      </w:pPr>
      <w:r>
        <w:rPr>
          <w:sz w:val="20"/>
          <w:szCs w:val="20"/>
        </w:rPr>
        <w:t> </w:t>
      </w:r>
    </w:p>
    <w:p w14:paraId="7C70F10E" w14:textId="77777777" w:rsidR="002E45D6" w:rsidRDefault="002A73D2">
      <w:pPr>
        <w:pStyle w:val="NormalWeb"/>
        <w:spacing w:before="0" w:beforeAutospacing="0" w:after="0" w:afterAutospacing="0"/>
        <w:jc w:val="both"/>
        <w:rPr>
          <w:sz w:val="20"/>
          <w:szCs w:val="20"/>
        </w:rPr>
      </w:pPr>
      <w:r>
        <w:rPr>
          <w:sz w:val="20"/>
          <w:szCs w:val="20"/>
        </w:rPr>
        <w:t>SHL Telemedicine is engaged in developing and marketing personal telemedicine systems and the provision of medical call center services, with a focus on cardiovascular and related diseases, to end users and to the healthcare community. SHL Telemedicine off</w:t>
      </w:r>
      <w:r>
        <w:rPr>
          <w:sz w:val="20"/>
          <w:szCs w:val="20"/>
        </w:rPr>
        <w:t>ers its services and personal telemedicine devices to subscribers utilizing telephonic and Internet communication technology. SHL is listed on the SIX Swiss Exchange (SHLTN, ISIN: IL0010855885, Security No.: 1128957) and on the Nasdaq Stock Exchange (SHLT,</w:t>
      </w:r>
      <w:r>
        <w:rPr>
          <w:sz w:val="20"/>
          <w:szCs w:val="20"/>
        </w:rPr>
        <w:t xml:space="preserve"> ISIN: US78423T2006, CUSIP: 78423T200). For more information, please visit our website at </w:t>
      </w:r>
      <w:r>
        <w:rPr>
          <w:sz w:val="20"/>
          <w:szCs w:val="20"/>
          <w:u w:val="single"/>
        </w:rPr>
        <w:t>www.shl-telemedicine.com</w:t>
      </w:r>
      <w:r>
        <w:rPr>
          <w:sz w:val="20"/>
          <w:szCs w:val="20"/>
        </w:rPr>
        <w:t>.</w:t>
      </w:r>
    </w:p>
    <w:p w14:paraId="13DCADEF" w14:textId="77777777" w:rsidR="002E45D6" w:rsidRDefault="002A73D2">
      <w:pPr>
        <w:pStyle w:val="NormalWeb"/>
        <w:spacing w:before="0" w:beforeAutospacing="0" w:after="0" w:afterAutospacing="0"/>
        <w:rPr>
          <w:sz w:val="20"/>
          <w:szCs w:val="20"/>
        </w:rPr>
      </w:pPr>
      <w:r>
        <w:rPr>
          <w:sz w:val="20"/>
          <w:szCs w:val="20"/>
        </w:rPr>
        <w:t> </w:t>
      </w:r>
    </w:p>
    <w:p w14:paraId="14096971" w14:textId="77777777" w:rsidR="002E45D6" w:rsidRDefault="002A73D2">
      <w:pPr>
        <w:pStyle w:val="NormalWeb"/>
        <w:spacing w:before="0" w:beforeAutospacing="0" w:after="0" w:afterAutospacing="0"/>
        <w:rPr>
          <w:sz w:val="20"/>
          <w:szCs w:val="20"/>
        </w:rPr>
      </w:pPr>
      <w:r>
        <w:rPr>
          <w:noProof/>
          <w:sz w:val="20"/>
          <w:szCs w:val="20"/>
        </w:rPr>
        <w:lastRenderedPageBreak/>
        <w:drawing>
          <wp:inline distT="0" distB="0" distL="0" distR="0" wp14:anchorId="46FEB7D3" wp14:editId="34DEF79D">
            <wp:extent cx="417195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71950" cy="581025"/>
                    </a:xfrm>
                    <a:prstGeom prst="rect">
                      <a:avLst/>
                    </a:prstGeom>
                    <a:noFill/>
                    <a:ln>
                      <a:noFill/>
                    </a:ln>
                  </pic:spPr>
                </pic:pic>
              </a:graphicData>
            </a:graphic>
          </wp:inline>
        </w:drawing>
      </w:r>
      <w:r>
        <w:rPr>
          <w:sz w:val="20"/>
          <w:szCs w:val="20"/>
        </w:rPr>
        <w:t> </w:t>
      </w:r>
    </w:p>
    <w:p w14:paraId="481ECFB2" w14:textId="77777777" w:rsidR="002E45D6" w:rsidRDefault="002A73D2">
      <w:pPr>
        <w:pStyle w:val="NormalWeb"/>
        <w:spacing w:before="0" w:beforeAutospacing="0" w:after="0" w:afterAutospacing="0"/>
        <w:rPr>
          <w:sz w:val="20"/>
          <w:szCs w:val="20"/>
        </w:rPr>
      </w:pPr>
      <w:r>
        <w:rPr>
          <w:sz w:val="20"/>
          <w:szCs w:val="20"/>
        </w:rPr>
        <w:t> </w:t>
      </w:r>
    </w:p>
    <w:p w14:paraId="6112A99E" w14:textId="77777777" w:rsidR="002E45D6" w:rsidRDefault="002A73D2">
      <w:pPr>
        <w:pStyle w:val="NormalWeb"/>
        <w:spacing w:before="0" w:beforeAutospacing="0" w:after="0" w:afterAutospacing="0"/>
        <w:divId w:val="1960381481"/>
        <w:rPr>
          <w:sz w:val="20"/>
          <w:szCs w:val="20"/>
        </w:rPr>
      </w:pPr>
      <w:r>
        <w:rPr>
          <w:sz w:val="20"/>
          <w:szCs w:val="20"/>
        </w:rPr>
        <w:t> </w:t>
      </w:r>
    </w:p>
    <w:p w14:paraId="2401F6F4" w14:textId="77777777" w:rsidR="002E45D6" w:rsidRDefault="002A73D2">
      <w:pPr>
        <w:pStyle w:val="NormalWeb"/>
        <w:pageBreakBefore/>
        <w:spacing w:before="0" w:beforeAutospacing="0" w:after="0" w:afterAutospacing="0"/>
        <w:divId w:val="306515368"/>
        <w:rPr>
          <w:sz w:val="20"/>
          <w:szCs w:val="20"/>
        </w:rPr>
      </w:pPr>
      <w:r>
        <w:rPr>
          <w:sz w:val="20"/>
          <w:szCs w:val="20"/>
        </w:rPr>
        <w:lastRenderedPageBreak/>
        <w:t> </w:t>
      </w:r>
    </w:p>
    <w:p w14:paraId="7A6BBF56" w14:textId="77777777" w:rsidR="002E45D6" w:rsidRDefault="002A73D2">
      <w:pPr>
        <w:pStyle w:val="NormalWeb"/>
        <w:spacing w:before="0" w:beforeAutospacing="0" w:after="0" w:afterAutospacing="0"/>
        <w:divId w:val="1595550639"/>
        <w:rPr>
          <w:sz w:val="20"/>
          <w:szCs w:val="20"/>
        </w:rPr>
      </w:pPr>
      <w:r>
        <w:rPr>
          <w:sz w:val="20"/>
          <w:szCs w:val="20"/>
        </w:rPr>
        <w:t> </w:t>
      </w:r>
    </w:p>
    <w:p w14:paraId="12983823" w14:textId="77777777" w:rsidR="002E45D6" w:rsidRDefault="002A73D2">
      <w:pPr>
        <w:pStyle w:val="NormalWeb"/>
        <w:spacing w:before="0" w:beforeAutospacing="0" w:after="0" w:afterAutospacing="0"/>
        <w:rPr>
          <w:sz w:val="20"/>
          <w:szCs w:val="20"/>
        </w:rPr>
      </w:pPr>
      <w:r>
        <w:rPr>
          <w:sz w:val="20"/>
          <w:szCs w:val="20"/>
        </w:rPr>
        <w:t> </w:t>
      </w:r>
    </w:p>
    <w:p w14:paraId="74AE4DC9" w14:textId="77777777" w:rsidR="002E45D6" w:rsidRDefault="002A73D2">
      <w:pPr>
        <w:pStyle w:val="NormalWeb"/>
        <w:spacing w:before="0" w:beforeAutospacing="0" w:after="0" w:afterAutospacing="0"/>
        <w:rPr>
          <w:sz w:val="20"/>
          <w:szCs w:val="20"/>
        </w:rPr>
      </w:pPr>
      <w:r>
        <w:rPr>
          <w:noProof/>
          <w:sz w:val="20"/>
          <w:szCs w:val="20"/>
        </w:rPr>
        <w:drawing>
          <wp:inline distT="0" distB="0" distL="0" distR="0" wp14:anchorId="68CE1355" wp14:editId="44C880CA">
            <wp:extent cx="914400" cy="48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14400" cy="480060"/>
                    </a:xfrm>
                    <a:prstGeom prst="rect">
                      <a:avLst/>
                    </a:prstGeom>
                    <a:noFill/>
                    <a:ln>
                      <a:noFill/>
                    </a:ln>
                  </pic:spPr>
                </pic:pic>
              </a:graphicData>
            </a:graphic>
          </wp:inline>
        </w:drawing>
      </w:r>
      <w:r>
        <w:rPr>
          <w:sz w:val="20"/>
          <w:szCs w:val="20"/>
        </w:rPr>
        <w:t> </w:t>
      </w:r>
    </w:p>
    <w:p w14:paraId="5DEB0543" w14:textId="77777777" w:rsidR="002E45D6" w:rsidRDefault="002A73D2">
      <w:pPr>
        <w:pStyle w:val="NormalWeb"/>
        <w:spacing w:before="0" w:beforeAutospacing="0" w:after="0" w:afterAutospacing="0"/>
        <w:rPr>
          <w:sz w:val="20"/>
          <w:szCs w:val="20"/>
        </w:rPr>
      </w:pPr>
      <w:r>
        <w:rPr>
          <w:sz w:val="20"/>
          <w:szCs w:val="20"/>
        </w:rPr>
        <w:t> </w:t>
      </w:r>
    </w:p>
    <w:p w14:paraId="1C35D540" w14:textId="77777777" w:rsidR="002E45D6" w:rsidRDefault="002A73D2">
      <w:pPr>
        <w:pStyle w:val="NormalWeb"/>
        <w:spacing w:before="0" w:beforeAutospacing="0" w:after="0" w:afterAutospacing="0"/>
        <w:rPr>
          <w:sz w:val="20"/>
          <w:szCs w:val="20"/>
        </w:rPr>
      </w:pPr>
      <w:r>
        <w:rPr>
          <w:sz w:val="20"/>
          <w:szCs w:val="20"/>
        </w:rPr>
        <w:t xml:space="preserve">This notification contains “forward-looking statements” within the meaning of the U.S. Private Securities </w:t>
      </w:r>
      <w:r>
        <w:rPr>
          <w:sz w:val="20"/>
          <w:szCs w:val="20"/>
        </w:rPr>
        <w:t xml:space="preserve">Litigation Reform Act of 1995, specifically Section 27A of the U.S. Securities Act of 1933, as amended, and Section 21E of the U.S. Securities Exchange Act of 1934, as amended. All statements, other than statements of historical facts, are forward-looking </w:t>
      </w:r>
      <w:r>
        <w:rPr>
          <w:sz w:val="20"/>
          <w:szCs w:val="20"/>
        </w:rPr>
        <w:t>statements, including, the Company’s anticipation with respect to changes in its results of operations from prior periods and the Company’s expectations as to the timing of filing its Annual Report on Form 20-F for the year ended December 31, 2022. Readers</w:t>
      </w:r>
      <w:r>
        <w:rPr>
          <w:sz w:val="20"/>
          <w:szCs w:val="20"/>
        </w:rPr>
        <w:t xml:space="preserve"> are cautioned that forward-looking statements are not guarantees of future performance and involve known and unknown risks, uncertainties and other factors that could cause actual results to differ materially from historical results or any future results </w:t>
      </w:r>
      <w:r>
        <w:rPr>
          <w:sz w:val="20"/>
          <w:szCs w:val="20"/>
        </w:rPr>
        <w:t>expressed or implied by forward-looking statements. Factors that can cause actual results to differ from expectations and those contained in forward-looking statements include those risks described in Item 3.D. “Key Information—Risk Factors” contained in t</w:t>
      </w:r>
      <w:r>
        <w:rPr>
          <w:sz w:val="20"/>
          <w:szCs w:val="20"/>
        </w:rPr>
        <w:t>he Company’s Registration Statement on Form 20-F filed with the U.S. Securities Exchange Commission (the “SEC”) on March 28, 2023 and in its subsequent filings and submissions with the SEC, including, but not limited to, the Company’s ability to complete t</w:t>
      </w:r>
      <w:r>
        <w:rPr>
          <w:sz w:val="20"/>
          <w:szCs w:val="20"/>
        </w:rPr>
        <w:t>he preparation of its year-end financial statements and preparation and filing of its Annual Report on Form 20-F within the fifteen-day period provided in the SEC’s rules; the Company’s ability to operate and comply with the complex and evolving regulation</w:t>
      </w:r>
      <w:r>
        <w:rPr>
          <w:sz w:val="20"/>
          <w:szCs w:val="20"/>
        </w:rPr>
        <w:t>s in the highly regulated healthcare industry; continued development, consumer acceptance and market adoption in the relatively new, unproven and volatile and rapidly changing telehealth market; the Company’s ability to develop and introduce new products a</w:t>
      </w:r>
      <w:r>
        <w:rPr>
          <w:sz w:val="20"/>
          <w:szCs w:val="20"/>
        </w:rPr>
        <w:t>nd solutions and enhancements to existing ones; the significant and increasing levels of competition in the telemedicine market; the impacts of COVID-19 and future pandemics and epidemics; the Company’s ability to continue to attract and retain key employe</w:t>
      </w:r>
      <w:r>
        <w:rPr>
          <w:sz w:val="20"/>
          <w:szCs w:val="20"/>
        </w:rPr>
        <w:t>es and personal in the highly competitive healthcare industry; the loss or breach of the Company’s proprietary rights and data security and privacy risks; political, judicial, legal, economic and military conditions in Israel and the surrounding region; gl</w:t>
      </w:r>
      <w:r>
        <w:rPr>
          <w:sz w:val="20"/>
          <w:szCs w:val="20"/>
        </w:rPr>
        <w:t>obal economic and financial market conditions and the Company’s ability to adapt to and comply with the different business and market factors, conditions, requirements and laws and regulations in the various countries in which the Company operates internat</w:t>
      </w:r>
      <w:r>
        <w:rPr>
          <w:sz w:val="20"/>
          <w:szCs w:val="20"/>
        </w:rPr>
        <w:t>ionally; currency fluctuations; labor disputes; the Company’s ability to manage growth and integrate acquired businesses and expanding operations; the Company’s ability to obtain adequate levels of insurance to cover potential losses; the Company’s depende</w:t>
      </w:r>
      <w:r>
        <w:rPr>
          <w:sz w:val="20"/>
          <w:szCs w:val="20"/>
        </w:rPr>
        <w:t xml:space="preserve">nce on key suppliers and sub-contractors and other third parties; and other matters and risks not yet known to the Company or not currently considered material by it. You should not place undue reliance on these forward-looking statements. All written and </w:t>
      </w:r>
      <w:r>
        <w:rPr>
          <w:sz w:val="20"/>
          <w:szCs w:val="20"/>
        </w:rPr>
        <w:t>oral forward-looking statements, attributable to the Company, or persons acting on its behalf, are qualified in their entirety by these cautionary statements. Unless required by law, the Company undertakes no obligation to publicly update or revise any for</w:t>
      </w:r>
      <w:r>
        <w:rPr>
          <w:sz w:val="20"/>
          <w:szCs w:val="20"/>
        </w:rPr>
        <w:t>ward-looking statements.</w:t>
      </w:r>
    </w:p>
    <w:p w14:paraId="5842C008" w14:textId="77777777" w:rsidR="002E45D6" w:rsidRDefault="002A73D2">
      <w:pPr>
        <w:pStyle w:val="NormalWeb"/>
        <w:spacing w:before="0" w:beforeAutospacing="0" w:after="0" w:afterAutospacing="0"/>
        <w:rPr>
          <w:sz w:val="20"/>
          <w:szCs w:val="20"/>
        </w:rPr>
      </w:pPr>
      <w:r>
        <w:rPr>
          <w:sz w:val="20"/>
          <w:szCs w:val="20"/>
        </w:rPr>
        <w:t> </w:t>
      </w:r>
    </w:p>
    <w:p w14:paraId="13CDCD33" w14:textId="77777777" w:rsidR="002E45D6" w:rsidRDefault="002A73D2">
      <w:pPr>
        <w:pStyle w:val="NormalWeb"/>
        <w:spacing w:before="0" w:beforeAutospacing="0" w:after="0" w:afterAutospacing="0"/>
        <w:rPr>
          <w:sz w:val="20"/>
          <w:szCs w:val="20"/>
        </w:rPr>
      </w:pPr>
      <w:r>
        <w:rPr>
          <w:noProof/>
          <w:sz w:val="20"/>
          <w:szCs w:val="20"/>
        </w:rPr>
        <w:drawing>
          <wp:inline distT="0" distB="0" distL="0" distR="0" wp14:anchorId="5B01A836" wp14:editId="699F0FDC">
            <wp:extent cx="417195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71950" cy="581025"/>
                    </a:xfrm>
                    <a:prstGeom prst="rect">
                      <a:avLst/>
                    </a:prstGeom>
                    <a:noFill/>
                    <a:ln>
                      <a:noFill/>
                    </a:ln>
                  </pic:spPr>
                </pic:pic>
              </a:graphicData>
            </a:graphic>
          </wp:inline>
        </w:drawing>
      </w:r>
      <w:r>
        <w:rPr>
          <w:sz w:val="20"/>
          <w:szCs w:val="20"/>
        </w:rPr>
        <w:t> </w:t>
      </w:r>
    </w:p>
    <w:p w14:paraId="5945CC48" w14:textId="77777777" w:rsidR="002E45D6" w:rsidRDefault="002A73D2">
      <w:pPr>
        <w:pStyle w:val="NormalWeb"/>
        <w:spacing w:before="0" w:beforeAutospacing="0" w:after="0" w:afterAutospacing="0"/>
        <w:rPr>
          <w:sz w:val="20"/>
          <w:szCs w:val="20"/>
        </w:rPr>
      </w:pPr>
      <w:r>
        <w:rPr>
          <w:sz w:val="20"/>
          <w:szCs w:val="20"/>
        </w:rPr>
        <w:t> </w:t>
      </w:r>
    </w:p>
    <w:p w14:paraId="65BACD2E" w14:textId="77777777" w:rsidR="002E45D6" w:rsidRDefault="002A73D2">
      <w:pPr>
        <w:pStyle w:val="NormalWeb"/>
        <w:spacing w:before="0" w:beforeAutospacing="0" w:after="0" w:afterAutospacing="0"/>
        <w:divId w:val="1932153464"/>
        <w:rPr>
          <w:sz w:val="20"/>
          <w:szCs w:val="20"/>
        </w:rPr>
      </w:pPr>
      <w:r>
        <w:rPr>
          <w:sz w:val="20"/>
          <w:szCs w:val="20"/>
        </w:rPr>
        <w:t> </w:t>
      </w:r>
    </w:p>
    <w:p w14:paraId="4A5E548C" w14:textId="77777777" w:rsidR="002E45D6" w:rsidRDefault="002A73D2">
      <w:pPr>
        <w:pStyle w:val="NormalWeb"/>
        <w:spacing w:before="0" w:beforeAutospacing="0" w:after="0" w:afterAutospacing="0"/>
        <w:rPr>
          <w:sz w:val="20"/>
          <w:szCs w:val="20"/>
        </w:rPr>
      </w:pPr>
      <w:r>
        <w:rPr>
          <w:sz w:val="20"/>
          <w:szCs w:val="20"/>
        </w:rPr>
        <w:t> </w:t>
      </w:r>
    </w:p>
    <w:sectPr w:rsidR="002E4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oNotTrackMoves/>
  <w:doNotTrackFormattin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D6"/>
    <w:rsid w:val="002A73D2"/>
    <w:rsid w:val="002E4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A780B"/>
  <w15:chartTrackingRefBased/>
  <w15:docId w15:val="{DBC0EE61-D6E0-4022-87E9-6EEAAB18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5368">
      <w:marLeft w:val="0"/>
      <w:marRight w:val="0"/>
      <w:marTop w:val="0"/>
      <w:marBottom w:val="0"/>
      <w:divBdr>
        <w:top w:val="none" w:sz="0" w:space="0" w:color="auto"/>
        <w:left w:val="none" w:sz="0" w:space="0" w:color="auto"/>
        <w:bottom w:val="none" w:sz="0" w:space="0" w:color="auto"/>
        <w:right w:val="none" w:sz="0" w:space="0" w:color="auto"/>
      </w:divBdr>
    </w:div>
    <w:div w:id="480076658">
      <w:marLeft w:val="0"/>
      <w:marRight w:val="0"/>
      <w:marTop w:val="240"/>
      <w:marBottom w:val="120"/>
      <w:divBdr>
        <w:top w:val="none" w:sz="0" w:space="0" w:color="auto"/>
        <w:left w:val="none" w:sz="0" w:space="0" w:color="auto"/>
        <w:bottom w:val="single" w:sz="8" w:space="0" w:color="000000"/>
        <w:right w:val="none" w:sz="0" w:space="0" w:color="auto"/>
      </w:divBdr>
    </w:div>
    <w:div w:id="529031284">
      <w:marLeft w:val="0"/>
      <w:marRight w:val="0"/>
      <w:marTop w:val="240"/>
      <w:marBottom w:val="120"/>
      <w:divBdr>
        <w:top w:val="none" w:sz="0" w:space="0" w:color="auto"/>
        <w:left w:val="none" w:sz="0" w:space="0" w:color="auto"/>
        <w:bottom w:val="single" w:sz="8" w:space="0" w:color="000000"/>
        <w:right w:val="none" w:sz="0" w:space="0" w:color="auto"/>
      </w:divBdr>
    </w:div>
    <w:div w:id="566185362">
      <w:marLeft w:val="0"/>
      <w:marRight w:val="0"/>
      <w:marTop w:val="0"/>
      <w:marBottom w:val="0"/>
      <w:divBdr>
        <w:top w:val="none" w:sz="0" w:space="0" w:color="auto"/>
        <w:left w:val="none" w:sz="0" w:space="0" w:color="auto"/>
        <w:bottom w:val="none" w:sz="0" w:space="0" w:color="auto"/>
        <w:right w:val="none" w:sz="0" w:space="0" w:color="auto"/>
      </w:divBdr>
    </w:div>
    <w:div w:id="669715008">
      <w:marLeft w:val="0"/>
      <w:marRight w:val="0"/>
      <w:marTop w:val="120"/>
      <w:marBottom w:val="240"/>
      <w:divBdr>
        <w:top w:val="none" w:sz="0" w:space="0" w:color="auto"/>
        <w:left w:val="none" w:sz="0" w:space="0" w:color="auto"/>
        <w:bottom w:val="none" w:sz="0" w:space="0" w:color="auto"/>
        <w:right w:val="none" w:sz="0" w:space="0" w:color="auto"/>
      </w:divBdr>
    </w:div>
    <w:div w:id="815033686">
      <w:marLeft w:val="0"/>
      <w:marRight w:val="0"/>
      <w:marTop w:val="60"/>
      <w:marBottom w:val="240"/>
      <w:divBdr>
        <w:top w:val="none" w:sz="0" w:space="0" w:color="auto"/>
        <w:left w:val="none" w:sz="0" w:space="0" w:color="auto"/>
        <w:bottom w:val="none" w:sz="0" w:space="0" w:color="auto"/>
        <w:right w:val="none" w:sz="0" w:space="0" w:color="auto"/>
      </w:divBdr>
      <w:divsChild>
        <w:div w:id="1980720833">
          <w:marLeft w:val="0"/>
          <w:marRight w:val="0"/>
          <w:marTop w:val="0"/>
          <w:marBottom w:val="0"/>
          <w:divBdr>
            <w:top w:val="single" w:sz="8" w:space="0" w:color="000000"/>
            <w:left w:val="none" w:sz="0" w:space="0" w:color="auto"/>
            <w:bottom w:val="single" w:sz="18" w:space="0" w:color="000000"/>
            <w:right w:val="none" w:sz="0" w:space="0" w:color="auto"/>
          </w:divBdr>
        </w:div>
      </w:divsChild>
    </w:div>
    <w:div w:id="874928416">
      <w:marLeft w:val="0"/>
      <w:marRight w:val="0"/>
      <w:marTop w:val="0"/>
      <w:marBottom w:val="0"/>
      <w:divBdr>
        <w:top w:val="none" w:sz="0" w:space="0" w:color="auto"/>
        <w:left w:val="none" w:sz="0" w:space="0" w:color="auto"/>
        <w:bottom w:val="none" w:sz="0" w:space="0" w:color="auto"/>
        <w:right w:val="none" w:sz="0" w:space="0" w:color="auto"/>
      </w:divBdr>
    </w:div>
    <w:div w:id="917058772">
      <w:marLeft w:val="0"/>
      <w:marRight w:val="0"/>
      <w:marTop w:val="120"/>
      <w:marBottom w:val="240"/>
      <w:divBdr>
        <w:top w:val="none" w:sz="0" w:space="0" w:color="auto"/>
        <w:left w:val="none" w:sz="0" w:space="0" w:color="auto"/>
        <w:bottom w:val="none" w:sz="0" w:space="0" w:color="auto"/>
        <w:right w:val="none" w:sz="0" w:space="0" w:color="auto"/>
      </w:divBdr>
    </w:div>
    <w:div w:id="992492397">
      <w:marLeft w:val="0"/>
      <w:marRight w:val="0"/>
      <w:marTop w:val="240"/>
      <w:marBottom w:val="120"/>
      <w:divBdr>
        <w:top w:val="none" w:sz="0" w:space="0" w:color="auto"/>
        <w:left w:val="none" w:sz="0" w:space="0" w:color="auto"/>
        <w:bottom w:val="single" w:sz="8" w:space="0" w:color="000000"/>
        <w:right w:val="none" w:sz="0" w:space="0" w:color="auto"/>
      </w:divBdr>
    </w:div>
    <w:div w:id="1205604828">
      <w:marLeft w:val="0"/>
      <w:marRight w:val="0"/>
      <w:marTop w:val="240"/>
      <w:marBottom w:val="120"/>
      <w:divBdr>
        <w:top w:val="none" w:sz="0" w:space="0" w:color="auto"/>
        <w:left w:val="none" w:sz="0" w:space="0" w:color="auto"/>
        <w:bottom w:val="single" w:sz="8" w:space="0" w:color="000000"/>
        <w:right w:val="none" w:sz="0" w:space="0" w:color="auto"/>
      </w:divBdr>
    </w:div>
    <w:div w:id="1405488340">
      <w:marLeft w:val="0"/>
      <w:marRight w:val="0"/>
      <w:marTop w:val="0"/>
      <w:marBottom w:val="0"/>
      <w:divBdr>
        <w:top w:val="none" w:sz="0" w:space="0" w:color="auto"/>
        <w:left w:val="none" w:sz="0" w:space="0" w:color="auto"/>
        <w:bottom w:val="none" w:sz="0" w:space="0" w:color="auto"/>
        <w:right w:val="none" w:sz="0" w:space="0" w:color="auto"/>
      </w:divBdr>
    </w:div>
    <w:div w:id="1408921884">
      <w:marLeft w:val="0"/>
      <w:marRight w:val="0"/>
      <w:marTop w:val="240"/>
      <w:marBottom w:val="60"/>
      <w:divBdr>
        <w:top w:val="none" w:sz="0" w:space="0" w:color="auto"/>
        <w:left w:val="none" w:sz="0" w:space="0" w:color="auto"/>
        <w:bottom w:val="none" w:sz="0" w:space="0" w:color="auto"/>
        <w:right w:val="none" w:sz="0" w:space="0" w:color="auto"/>
      </w:divBdr>
      <w:divsChild>
        <w:div w:id="450366680">
          <w:marLeft w:val="0"/>
          <w:marRight w:val="0"/>
          <w:marTop w:val="0"/>
          <w:marBottom w:val="0"/>
          <w:divBdr>
            <w:top w:val="single" w:sz="18" w:space="0" w:color="000000"/>
            <w:left w:val="none" w:sz="0" w:space="0" w:color="auto"/>
            <w:bottom w:val="single" w:sz="8" w:space="0" w:color="000000"/>
            <w:right w:val="none" w:sz="0" w:space="0" w:color="auto"/>
          </w:divBdr>
        </w:div>
      </w:divsChild>
    </w:div>
    <w:div w:id="1561021004">
      <w:marLeft w:val="0"/>
      <w:marRight w:val="0"/>
      <w:marTop w:val="0"/>
      <w:marBottom w:val="0"/>
      <w:divBdr>
        <w:top w:val="none" w:sz="0" w:space="0" w:color="auto"/>
        <w:left w:val="none" w:sz="0" w:space="0" w:color="auto"/>
        <w:bottom w:val="none" w:sz="0" w:space="0" w:color="auto"/>
        <w:right w:val="none" w:sz="0" w:space="0" w:color="auto"/>
      </w:divBdr>
    </w:div>
    <w:div w:id="1595550639">
      <w:marLeft w:val="0"/>
      <w:marRight w:val="0"/>
      <w:marTop w:val="120"/>
      <w:marBottom w:val="240"/>
      <w:divBdr>
        <w:top w:val="none" w:sz="0" w:space="0" w:color="auto"/>
        <w:left w:val="none" w:sz="0" w:space="0" w:color="auto"/>
        <w:bottom w:val="none" w:sz="0" w:space="0" w:color="auto"/>
        <w:right w:val="none" w:sz="0" w:space="0" w:color="auto"/>
      </w:divBdr>
    </w:div>
    <w:div w:id="1677001796">
      <w:marLeft w:val="0"/>
      <w:marRight w:val="0"/>
      <w:marTop w:val="120"/>
      <w:marBottom w:val="240"/>
      <w:divBdr>
        <w:top w:val="none" w:sz="0" w:space="0" w:color="auto"/>
        <w:left w:val="none" w:sz="0" w:space="0" w:color="auto"/>
        <w:bottom w:val="none" w:sz="0" w:space="0" w:color="auto"/>
        <w:right w:val="none" w:sz="0" w:space="0" w:color="auto"/>
      </w:divBdr>
    </w:div>
    <w:div w:id="1932153464">
      <w:marLeft w:val="0"/>
      <w:marRight w:val="0"/>
      <w:marTop w:val="240"/>
      <w:marBottom w:val="120"/>
      <w:divBdr>
        <w:top w:val="none" w:sz="0" w:space="0" w:color="auto"/>
        <w:left w:val="none" w:sz="0" w:space="0" w:color="auto"/>
        <w:bottom w:val="single" w:sz="8" w:space="0" w:color="000000"/>
        <w:right w:val="none" w:sz="0" w:space="0" w:color="auto"/>
      </w:divBdr>
    </w:div>
    <w:div w:id="1960381481">
      <w:marLeft w:val="0"/>
      <w:marRight w:val="0"/>
      <w:marTop w:val="240"/>
      <w:marBottom w:val="120"/>
      <w:divBdr>
        <w:top w:val="none" w:sz="0" w:space="0" w:color="auto"/>
        <w:left w:val="none" w:sz="0" w:space="0" w:color="auto"/>
        <w:bottom w:val="single" w:sz="8" w:space="0" w:color="000000"/>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file:///T:\tm2313029-1\tm2313029-1_6kseq1\captures\v000.01-2023-04-17-18-41-16-utc-121322-ClientDraft-D1.2\tm2313029d1_ex99-1img00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file:///\\tm.toppanmerrill.com\chi4\ActiveJobs\tm2313029-1\tm2313029-1_6kseq1\captures\v000.01-2023-04-17-18-41-16-utc-121322-ClientDraft-D1.2\tm2313029d1_ex99-1.htm" TargetMode="External"/><Relationship Id="rId10" Type="http://schemas.openxmlformats.org/officeDocument/2006/relationships/fontTable" Target="fontTable.xml"/><Relationship Id="rId4" Type="http://schemas.openxmlformats.org/officeDocument/2006/relationships/hyperlink" Target="file:///\\tm.toppanmerrill.com\chi4\ActiveJobs\tm2313029-1\tm2313029-1_6kseq1\captures\v000.01-2023-04-17-18-41-16-utc-121322-ClientDraft-D1.2\tm2313029d1_ex99-1.htm" TargetMode="External"/><Relationship Id="rId9" Type="http://schemas.openxmlformats.org/officeDocument/2006/relationships/image" Target="file:///T:\tm2313029-1\tm2313029-1_6kseq1\captures\v000.01-2023-04-17-18-41-16-utc-121322-ClientDraft-D1.2\tm2313029d1_ex99-1img0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(Admin), Laurence</dc:creator>
  <cp:keywords/>
  <dc:description/>
  <cp:lastModifiedBy>Erez Nachtomy</cp:lastModifiedBy>
  <cp:revision>2</cp:revision>
  <dcterms:created xsi:type="dcterms:W3CDTF">2023-04-17T20:15:00Z</dcterms:created>
  <dcterms:modified xsi:type="dcterms:W3CDTF">2023-04-17T20:15:00Z</dcterms:modified>
</cp:coreProperties>
</file>